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35E5A" w14:textId="633281A0" w:rsidR="002B1A26" w:rsidRPr="007604F2" w:rsidRDefault="002B1A26" w:rsidP="002B1A26">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sidRPr="007604F2">
        <w:rPr>
          <w:rFonts w:ascii="Arial" w:eastAsia="MS Mincho" w:hAnsi="Arial" w:cs="Arial"/>
          <w:b/>
          <w:bCs/>
          <w:noProof/>
          <w:sz w:val="24"/>
          <w:szCs w:val="24"/>
          <w:lang w:eastAsia="ja-JP"/>
        </w:rPr>
        <w:t>86</w:t>
      </w:r>
      <w:r>
        <w:rPr>
          <w:rFonts w:ascii="Arial" w:eastAsia="MS Mincho" w:hAnsi="Arial" w:cs="Arial"/>
          <w:b/>
          <w:bCs/>
          <w:noProof/>
          <w:sz w:val="24"/>
          <w:szCs w:val="24"/>
          <w:lang w:eastAsia="ja-JP"/>
        </w:rPr>
        <w:t>bis</w:t>
      </w:r>
      <w:r>
        <w:rPr>
          <w:rFonts w:ascii="Arial" w:eastAsia="MS Mincho" w:hAnsi="Arial" w:cs="Arial"/>
          <w:b/>
          <w:bCs/>
          <w:noProof/>
          <w:sz w:val="24"/>
          <w:szCs w:val="24"/>
          <w:lang w:eastAsia="ja-JP"/>
        </w:rPr>
        <w:tab/>
      </w:r>
      <w:r>
        <w:rPr>
          <w:rFonts w:ascii="Arial" w:eastAsia="MS Mincho" w:hAnsi="Arial" w:cs="Arial"/>
          <w:b/>
          <w:bCs/>
          <w:noProof/>
          <w:sz w:val="24"/>
          <w:szCs w:val="24"/>
          <w:lang w:eastAsia="ja-JP"/>
        </w:rPr>
        <w:tab/>
      </w:r>
      <w:r w:rsidRPr="007604F2">
        <w:rPr>
          <w:rFonts w:ascii="Arial" w:hAnsi="Arial" w:cs="Arial"/>
          <w:b/>
          <w:bCs/>
          <w:noProof/>
          <w:sz w:val="24"/>
          <w:szCs w:val="24"/>
        </w:rPr>
        <w:t>R1-</w:t>
      </w:r>
      <w:r w:rsidR="00707846">
        <w:rPr>
          <w:rFonts w:ascii="Arial" w:hAnsi="Arial" w:cs="Arial"/>
          <w:b/>
          <w:bCs/>
          <w:noProof/>
          <w:sz w:val="24"/>
          <w:szCs w:val="24"/>
        </w:rPr>
        <w:t>1609753</w:t>
      </w:r>
    </w:p>
    <w:p w14:paraId="40D772FB" w14:textId="77777777" w:rsidR="002B1A26" w:rsidRPr="007604F2" w:rsidRDefault="002B1A26" w:rsidP="002B1A26">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Lisbon</w:t>
      </w:r>
      <w:r w:rsidRPr="007604F2">
        <w:rPr>
          <w:rFonts w:ascii="Arial" w:hAnsi="Arial" w:cs="Arial"/>
          <w:b/>
          <w:bCs/>
          <w:noProof/>
          <w:sz w:val="24"/>
          <w:szCs w:val="24"/>
        </w:rPr>
        <w:t xml:space="preserve">, </w:t>
      </w:r>
      <w:r>
        <w:rPr>
          <w:rFonts w:ascii="Arial" w:hAnsi="Arial" w:cs="Arial"/>
          <w:b/>
          <w:bCs/>
          <w:noProof/>
          <w:sz w:val="24"/>
          <w:szCs w:val="24"/>
        </w:rPr>
        <w:t>Portugal</w:t>
      </w:r>
      <w:r w:rsidRPr="007604F2">
        <w:rPr>
          <w:rFonts w:ascii="Arial" w:hAnsi="Arial" w:cs="Arial"/>
          <w:b/>
          <w:bCs/>
          <w:noProof/>
          <w:sz w:val="24"/>
          <w:szCs w:val="24"/>
        </w:rPr>
        <w:t xml:space="preserve">, </w:t>
      </w:r>
      <w:r>
        <w:rPr>
          <w:rFonts w:ascii="Arial" w:hAnsi="Arial" w:cs="Arial"/>
          <w:b/>
          <w:bCs/>
          <w:noProof/>
          <w:sz w:val="24"/>
          <w:szCs w:val="24"/>
        </w:rPr>
        <w:t>10</w:t>
      </w:r>
      <w:r w:rsidRPr="007604F2">
        <w:rPr>
          <w:rFonts w:ascii="Arial" w:hAnsi="Arial" w:cs="Arial"/>
          <w:b/>
          <w:bCs/>
          <w:noProof/>
          <w:sz w:val="24"/>
          <w:szCs w:val="24"/>
        </w:rPr>
        <w:t>-</w:t>
      </w:r>
      <w:r>
        <w:rPr>
          <w:rFonts w:ascii="Arial" w:hAnsi="Arial" w:cs="Arial"/>
          <w:b/>
          <w:bCs/>
          <w:noProof/>
          <w:sz w:val="24"/>
          <w:szCs w:val="24"/>
        </w:rPr>
        <w:t>14</w:t>
      </w:r>
      <w:r w:rsidRPr="007604F2">
        <w:rPr>
          <w:rFonts w:ascii="Arial" w:hAnsi="Arial" w:cs="Arial"/>
          <w:b/>
          <w:bCs/>
          <w:noProof/>
          <w:sz w:val="24"/>
          <w:szCs w:val="24"/>
        </w:rPr>
        <w:t xml:space="preserve"> </w:t>
      </w:r>
      <w:r>
        <w:rPr>
          <w:rFonts w:ascii="Arial" w:hAnsi="Arial" w:cs="Arial"/>
          <w:b/>
          <w:bCs/>
          <w:noProof/>
          <w:sz w:val="24"/>
          <w:szCs w:val="24"/>
        </w:rPr>
        <w:t>October</w:t>
      </w:r>
      <w:r w:rsidRPr="007604F2">
        <w:rPr>
          <w:rFonts w:ascii="Arial" w:hAnsi="Arial" w:cs="Arial"/>
          <w:b/>
          <w:bCs/>
          <w:noProof/>
          <w:sz w:val="24"/>
          <w:szCs w:val="24"/>
        </w:rPr>
        <w:t xml:space="preserve"> 2016</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0614B44B"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0E45DC">
        <w:rPr>
          <w:sz w:val="22"/>
          <w:szCs w:val="22"/>
          <w:lang w:val="en-US"/>
        </w:rPr>
        <w:t>Update</w:t>
      </w:r>
      <w:r w:rsidR="008D13E7">
        <w:rPr>
          <w:sz w:val="22"/>
          <w:szCs w:val="22"/>
          <w:lang w:val="en-US"/>
        </w:rPr>
        <w:t xml:space="preserve"> </w:t>
      </w:r>
      <w:r w:rsidR="000E45DC">
        <w:rPr>
          <w:sz w:val="22"/>
          <w:szCs w:val="22"/>
          <w:lang w:val="en-US"/>
        </w:rPr>
        <w:t xml:space="preserve">to </w:t>
      </w:r>
      <w:r w:rsidR="00754522">
        <w:rPr>
          <w:sz w:val="22"/>
          <w:szCs w:val="22"/>
          <w:lang w:val="en-US"/>
        </w:rPr>
        <w:t>c</w:t>
      </w:r>
      <w:r w:rsidR="008D13E7">
        <w:rPr>
          <w:sz w:val="22"/>
          <w:szCs w:val="22"/>
          <w:lang w:val="en-US"/>
        </w:rPr>
        <w:t>hannel model</w:t>
      </w:r>
      <w:r w:rsidR="00754522">
        <w:rPr>
          <w:sz w:val="22"/>
          <w:szCs w:val="22"/>
          <w:lang w:val="en-US"/>
        </w:rPr>
        <w:t>s</w:t>
      </w:r>
      <w:r w:rsidR="008D13E7">
        <w:rPr>
          <w:sz w:val="22"/>
          <w:szCs w:val="22"/>
          <w:lang w:val="en-US"/>
        </w:rPr>
        <w:t xml:space="preserve"> for </w:t>
      </w:r>
      <w:r w:rsidR="001F6FFB">
        <w:rPr>
          <w:sz w:val="22"/>
          <w:szCs w:val="22"/>
          <w:lang w:val="en-US"/>
        </w:rPr>
        <w:t>e</w:t>
      </w:r>
      <w:r w:rsidR="008D13E7">
        <w:rPr>
          <w:sz w:val="22"/>
          <w:szCs w:val="22"/>
          <w:lang w:val="en-US"/>
        </w:rPr>
        <w:t>V2X evaluation</w:t>
      </w:r>
    </w:p>
    <w:p w14:paraId="35A90F35" w14:textId="53E5B41A" w:rsidR="00005DBD" w:rsidRPr="001E25A7" w:rsidRDefault="00005DBD" w:rsidP="00005DBD">
      <w:pPr>
        <w:pStyle w:val="TdocHeader2"/>
        <w:jc w:val="left"/>
        <w:rPr>
          <w:sz w:val="22"/>
          <w:szCs w:val="22"/>
          <w:lang w:val="en-US"/>
        </w:rPr>
      </w:pPr>
      <w:r w:rsidRPr="001E25A7">
        <w:rPr>
          <w:sz w:val="22"/>
          <w:szCs w:val="22"/>
          <w:lang w:val="en-US"/>
        </w:rPr>
        <w:t>Agenda Item:</w:t>
      </w:r>
      <w:r w:rsidRPr="001E25A7">
        <w:rPr>
          <w:sz w:val="22"/>
          <w:szCs w:val="22"/>
          <w:lang w:val="en-US"/>
        </w:rPr>
        <w:tab/>
      </w:r>
      <w:r w:rsidR="00275591">
        <w:rPr>
          <w:sz w:val="22"/>
          <w:szCs w:val="22"/>
          <w:lang w:val="en-US"/>
        </w:rPr>
        <w:t>8.1.8</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49DEDE40" w14:textId="012A3D26" w:rsidR="008D13E7" w:rsidRDefault="008D13E7" w:rsidP="003466BF">
      <w:pPr>
        <w:pStyle w:val="BodyText"/>
        <w:spacing w:before="240" w:after="240"/>
        <w:jc w:val="both"/>
        <w:rPr>
          <w:sz w:val="20"/>
          <w:szCs w:val="20"/>
        </w:rPr>
      </w:pPr>
      <w:r>
        <w:rPr>
          <w:sz w:val="20"/>
          <w:szCs w:val="20"/>
        </w:rPr>
        <w:t>RAN</w:t>
      </w:r>
      <w:r w:rsidR="0097131F">
        <w:rPr>
          <w:sz w:val="20"/>
          <w:szCs w:val="20"/>
        </w:rPr>
        <w:t>1</w:t>
      </w:r>
      <w:r>
        <w:rPr>
          <w:sz w:val="20"/>
          <w:szCs w:val="20"/>
        </w:rPr>
        <w:t xml:space="preserve"> has agreed on the channel model for </w:t>
      </w:r>
      <w:r w:rsidR="00044839">
        <w:rPr>
          <w:sz w:val="20"/>
          <w:szCs w:val="20"/>
        </w:rPr>
        <w:t>eV2X</w:t>
      </w:r>
      <w:r>
        <w:rPr>
          <w:sz w:val="20"/>
          <w:szCs w:val="20"/>
        </w:rPr>
        <w:t xml:space="preserve"> evaluation</w:t>
      </w:r>
      <w:r w:rsidR="00E17229">
        <w:rPr>
          <w:sz w:val="20"/>
          <w:szCs w:val="20"/>
        </w:rPr>
        <w:t xml:space="preserve"> at frequencies below 6GHz</w:t>
      </w:r>
      <w:r w:rsidR="00044839">
        <w:rPr>
          <w:sz w:val="20"/>
          <w:szCs w:val="20"/>
        </w:rPr>
        <w:t>, captured in TR 38.802</w:t>
      </w:r>
      <w:r w:rsidR="0097131F">
        <w:rPr>
          <w:sz w:val="20"/>
          <w:szCs w:val="20"/>
        </w:rPr>
        <w:t xml:space="preserve"> v0.1.0</w:t>
      </w:r>
      <w:r w:rsidR="00F11673">
        <w:rPr>
          <w:sz w:val="20"/>
          <w:szCs w:val="20"/>
        </w:rPr>
        <w:t xml:space="preserve"> </w:t>
      </w:r>
      <w:r w:rsidR="00F11673">
        <w:rPr>
          <w:sz w:val="20"/>
          <w:szCs w:val="20"/>
        </w:rPr>
        <w:fldChar w:fldCharType="begin"/>
      </w:r>
      <w:r w:rsidR="00F11673">
        <w:rPr>
          <w:sz w:val="20"/>
          <w:szCs w:val="20"/>
        </w:rPr>
        <w:instrText xml:space="preserve"> REF _Ref462771815 \r \h </w:instrText>
      </w:r>
      <w:r w:rsidR="00F11673">
        <w:rPr>
          <w:sz w:val="20"/>
          <w:szCs w:val="20"/>
        </w:rPr>
      </w:r>
      <w:r w:rsidR="00F11673">
        <w:rPr>
          <w:sz w:val="20"/>
          <w:szCs w:val="20"/>
        </w:rPr>
        <w:fldChar w:fldCharType="separate"/>
      </w:r>
      <w:r w:rsidR="00FE249D">
        <w:rPr>
          <w:sz w:val="20"/>
          <w:szCs w:val="20"/>
        </w:rPr>
        <w:t>[1]</w:t>
      </w:r>
      <w:r w:rsidR="00F11673">
        <w:rPr>
          <w:sz w:val="20"/>
          <w:szCs w:val="20"/>
        </w:rPr>
        <w:fldChar w:fldCharType="end"/>
      </w:r>
      <w:r w:rsidR="00044839">
        <w:rPr>
          <w:sz w:val="20"/>
          <w:szCs w:val="20"/>
        </w:rPr>
        <w:t>, as follows:</w:t>
      </w:r>
    </w:p>
    <w:p w14:paraId="7431EDFA" w14:textId="648A4804" w:rsidR="00F11673" w:rsidRDefault="00F11673" w:rsidP="00283BAD">
      <w:pPr>
        <w:pStyle w:val="Caption"/>
        <w:jc w:val="center"/>
      </w:pPr>
      <w:r>
        <w:t xml:space="preserve">Table </w:t>
      </w:r>
      <w:r>
        <w:fldChar w:fldCharType="begin"/>
      </w:r>
      <w:r>
        <w:instrText xml:space="preserve"> SEQ Table \* ARABIC </w:instrText>
      </w:r>
      <w:r>
        <w:fldChar w:fldCharType="separate"/>
      </w:r>
      <w:r w:rsidR="00FE249D">
        <w:rPr>
          <w:noProof/>
        </w:rPr>
        <w:t>1</w:t>
      </w:r>
      <w:r>
        <w:fldChar w:fldCharType="end"/>
      </w:r>
      <w:r>
        <w:t xml:space="preserve"> (Table </w:t>
      </w:r>
      <w:r w:rsidR="008F4AD4">
        <w:t>A.2.1-2</w:t>
      </w:r>
      <w:r>
        <w:t xml:space="preserve"> in </w:t>
      </w:r>
      <w:r>
        <w:fldChar w:fldCharType="begin"/>
      </w:r>
      <w:r>
        <w:instrText xml:space="preserve"> REF _Ref462771815 \r \h </w:instrText>
      </w:r>
      <w:r>
        <w:fldChar w:fldCharType="separate"/>
      </w:r>
      <w:r w:rsidR="00FE249D">
        <w:t>[1]</w:t>
      </w:r>
      <w:r>
        <w:fldChar w:fldCharType="end"/>
      </w:r>
      <w:r>
        <w:t xml:space="preserve">): </w:t>
      </w:r>
      <w:r w:rsidR="008F4AD4">
        <w:t xml:space="preserve">System level evaluation assumptions for eV2X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880"/>
        <w:gridCol w:w="3500"/>
      </w:tblGrid>
      <w:tr w:rsidR="00044839" w:rsidRPr="009212C2" w14:paraId="1021BD48" w14:textId="77777777" w:rsidTr="00707846">
        <w:trPr>
          <w:trHeight w:val="300"/>
          <w:jc w:val="center"/>
        </w:trPr>
        <w:tc>
          <w:tcPr>
            <w:tcW w:w="1615" w:type="dxa"/>
            <w:shd w:val="clear" w:color="auto" w:fill="D9D9D9"/>
            <w:hideMark/>
          </w:tcPr>
          <w:p w14:paraId="36266DDB" w14:textId="77777777" w:rsidR="00044839" w:rsidRPr="00870092" w:rsidRDefault="00044839" w:rsidP="00D1023E">
            <w:pPr>
              <w:spacing w:after="0"/>
              <w:rPr>
                <w:rFonts w:ascii="Arial" w:hAnsi="Arial" w:cs="Arial"/>
                <w:b/>
                <w:bCs/>
                <w:sz w:val="18"/>
                <w:szCs w:val="18"/>
                <w:lang w:eastAsia="ja-JP"/>
              </w:rPr>
            </w:pPr>
            <w:r w:rsidRPr="00870092">
              <w:rPr>
                <w:rFonts w:ascii="Arial" w:hAnsi="Arial" w:cs="Arial"/>
                <w:b/>
                <w:bCs/>
                <w:sz w:val="18"/>
                <w:szCs w:val="18"/>
                <w:lang w:eastAsia="ja-JP"/>
              </w:rPr>
              <w:t>Parameters</w:t>
            </w:r>
          </w:p>
        </w:tc>
        <w:tc>
          <w:tcPr>
            <w:tcW w:w="3880" w:type="dxa"/>
            <w:shd w:val="clear" w:color="auto" w:fill="D9D9D9"/>
          </w:tcPr>
          <w:p w14:paraId="73F3FA2D" w14:textId="77777777" w:rsidR="00044839" w:rsidRPr="00870092" w:rsidRDefault="00044839" w:rsidP="00D1023E">
            <w:pPr>
              <w:spacing w:after="0"/>
              <w:rPr>
                <w:rFonts w:ascii="Arial" w:hAnsi="Arial" w:cs="Arial"/>
                <w:b/>
                <w:bCs/>
                <w:sz w:val="18"/>
                <w:szCs w:val="18"/>
                <w:lang w:eastAsia="ja-JP"/>
              </w:rPr>
            </w:pPr>
            <w:r w:rsidRPr="00FC28ED">
              <w:rPr>
                <w:rFonts w:ascii="Arial" w:hAnsi="Arial" w:cs="Arial"/>
                <w:b/>
                <w:bCs/>
                <w:sz w:val="18"/>
                <w:szCs w:val="18"/>
                <w:lang w:eastAsia="ja-JP"/>
              </w:rPr>
              <w:t>Urban grid for eV2X</w:t>
            </w:r>
          </w:p>
        </w:tc>
        <w:tc>
          <w:tcPr>
            <w:tcW w:w="3500" w:type="dxa"/>
            <w:shd w:val="clear" w:color="auto" w:fill="D9D9D9"/>
          </w:tcPr>
          <w:p w14:paraId="71D193D8" w14:textId="77777777" w:rsidR="00044839" w:rsidRPr="00870092" w:rsidRDefault="00044839" w:rsidP="00D1023E">
            <w:pPr>
              <w:spacing w:after="0"/>
              <w:rPr>
                <w:rFonts w:ascii="Arial" w:hAnsi="Arial" w:cs="Arial"/>
                <w:b/>
                <w:bCs/>
                <w:sz w:val="18"/>
                <w:szCs w:val="18"/>
                <w:lang w:eastAsia="ja-JP"/>
              </w:rPr>
            </w:pPr>
            <w:r w:rsidRPr="00FC28ED">
              <w:rPr>
                <w:rFonts w:ascii="Arial" w:hAnsi="Arial" w:cs="Arial"/>
                <w:b/>
                <w:bCs/>
                <w:sz w:val="18"/>
                <w:szCs w:val="18"/>
                <w:lang w:eastAsia="ja-JP"/>
              </w:rPr>
              <w:t>Highway for eV2X</w:t>
            </w:r>
          </w:p>
        </w:tc>
      </w:tr>
      <w:tr w:rsidR="00E17229" w:rsidRPr="009212C2" w14:paraId="3CF2D104" w14:textId="77777777" w:rsidTr="00707846">
        <w:trPr>
          <w:trHeight w:val="1196"/>
          <w:jc w:val="center"/>
        </w:trPr>
        <w:tc>
          <w:tcPr>
            <w:tcW w:w="1615" w:type="dxa"/>
            <w:shd w:val="clear" w:color="auto" w:fill="auto"/>
          </w:tcPr>
          <w:p w14:paraId="4C34B8A8" w14:textId="799E8A55" w:rsidR="00E17229" w:rsidRPr="009212C2" w:rsidDel="00E17229" w:rsidRDefault="00E17229" w:rsidP="00D1023E">
            <w:pPr>
              <w:spacing w:after="0"/>
              <w:rPr>
                <w:rFonts w:ascii="Arial" w:hAnsi="Arial" w:cs="Arial"/>
                <w:bCs/>
                <w:sz w:val="18"/>
                <w:szCs w:val="18"/>
                <w:lang w:eastAsia="ja-JP"/>
              </w:rPr>
            </w:pPr>
            <w:r w:rsidRPr="009212C2">
              <w:rPr>
                <w:rFonts w:ascii="Arial" w:hAnsi="Arial" w:cs="Arial"/>
                <w:bCs/>
                <w:sz w:val="18"/>
                <w:szCs w:val="18"/>
                <w:lang w:eastAsia="ja-JP"/>
              </w:rPr>
              <w:t>Carrier frequency</w:t>
            </w:r>
          </w:p>
        </w:tc>
        <w:tc>
          <w:tcPr>
            <w:tcW w:w="3880" w:type="dxa"/>
            <w:shd w:val="clear" w:color="auto" w:fill="auto"/>
          </w:tcPr>
          <w:p w14:paraId="775AF44B" w14:textId="153D36B5" w:rsidR="00E17229" w:rsidRDefault="00E17229" w:rsidP="000D0B11">
            <w:pPr>
              <w:spacing w:after="0"/>
              <w:rPr>
                <w:rFonts w:ascii="Arial" w:hAnsi="Arial" w:cs="Arial"/>
                <w:sz w:val="18"/>
                <w:szCs w:val="18"/>
                <w:lang w:eastAsia="ja-JP"/>
              </w:rPr>
            </w:pPr>
            <w:r w:rsidRPr="00527C42">
              <w:rPr>
                <w:rFonts w:ascii="Arial" w:hAnsi="Arial" w:cs="Arial" w:hint="eastAsia"/>
                <w:sz w:val="18"/>
                <w:szCs w:val="18"/>
                <w:lang w:eastAsia="ja-JP"/>
              </w:rPr>
              <w:t xml:space="preserve">Macro to/from vehicle/pedestrian UE: 4 GHz </w:t>
            </w:r>
          </w:p>
          <w:p w14:paraId="775AE963" w14:textId="77777777" w:rsidR="00E17229" w:rsidRDefault="00E17229" w:rsidP="000D0B11">
            <w:pPr>
              <w:spacing w:after="0"/>
              <w:rPr>
                <w:rFonts w:ascii="Arial" w:hAnsi="Arial" w:cs="Arial"/>
                <w:sz w:val="18"/>
                <w:szCs w:val="18"/>
                <w:lang w:eastAsia="ja-JP"/>
              </w:rPr>
            </w:pPr>
            <w:r w:rsidRPr="00527C42">
              <w:rPr>
                <w:rFonts w:ascii="Arial" w:hAnsi="Arial" w:cs="Arial" w:hint="eastAsia"/>
                <w:sz w:val="18"/>
                <w:szCs w:val="18"/>
                <w:lang w:eastAsia="ja-JP"/>
              </w:rPr>
              <w:t>Between vehicle/pedestrian UE: 6 GHz</w:t>
            </w:r>
          </w:p>
          <w:p w14:paraId="75B87CD0" w14:textId="686886F5" w:rsidR="00E17229" w:rsidRDefault="00E17229" w:rsidP="000D0B11">
            <w:pPr>
              <w:spacing w:after="0"/>
              <w:rPr>
                <w:rFonts w:ascii="Arial" w:hAnsi="Arial" w:cs="Arial"/>
                <w:sz w:val="18"/>
                <w:szCs w:val="18"/>
                <w:lang w:eastAsia="ja-JP"/>
              </w:rPr>
            </w:pPr>
            <w:r w:rsidRPr="00527C42">
              <w:rPr>
                <w:rFonts w:ascii="Arial" w:hAnsi="Arial" w:cs="Arial" w:hint="eastAsia"/>
                <w:sz w:val="18"/>
                <w:szCs w:val="18"/>
                <w:lang w:eastAsia="ja-JP"/>
              </w:rPr>
              <w:t>BS-type-RSU to/from vehicle/pedestrian UE: 4 GHz</w:t>
            </w:r>
            <w:r>
              <w:rPr>
                <w:rFonts w:ascii="Arial" w:hAnsi="Arial" w:cs="Arial" w:hint="eastAsia"/>
                <w:sz w:val="18"/>
                <w:szCs w:val="18"/>
                <w:lang w:eastAsia="ja-JP"/>
              </w:rPr>
              <w:t xml:space="preserve"> </w:t>
            </w:r>
          </w:p>
          <w:p w14:paraId="41992F86" w14:textId="77777777" w:rsidR="00E17229" w:rsidRDefault="00E17229" w:rsidP="000D0B11">
            <w:pPr>
              <w:spacing w:after="0"/>
              <w:rPr>
                <w:rFonts w:ascii="Arial" w:hAnsi="Arial" w:cs="Arial"/>
                <w:sz w:val="18"/>
                <w:szCs w:val="18"/>
                <w:lang w:eastAsia="ja-JP"/>
              </w:rPr>
            </w:pPr>
            <w:r w:rsidRPr="00527C42">
              <w:rPr>
                <w:rFonts w:ascii="Arial" w:hAnsi="Arial" w:cs="Arial" w:hint="eastAsia"/>
                <w:sz w:val="18"/>
                <w:szCs w:val="18"/>
                <w:lang w:eastAsia="ja-JP"/>
              </w:rPr>
              <w:t xml:space="preserve">UE-type-RSU to/from vehicle/pedestrian UE: 6 GHz </w:t>
            </w:r>
          </w:p>
          <w:p w14:paraId="1D9CE5B1" w14:textId="2CC0FA2D" w:rsidR="00E17229" w:rsidRPr="00527C42" w:rsidDel="00E17229" w:rsidRDefault="00E17229" w:rsidP="00DB4693">
            <w:pPr>
              <w:spacing w:after="0"/>
              <w:rPr>
                <w:rFonts w:ascii="Arial" w:hAnsi="Arial" w:cs="Arial"/>
                <w:bCs/>
                <w:sz w:val="18"/>
                <w:szCs w:val="18"/>
                <w:lang w:eastAsia="ja-JP"/>
              </w:rPr>
            </w:pPr>
            <w:r w:rsidRPr="00527C42">
              <w:rPr>
                <w:rFonts w:ascii="Arial" w:hAnsi="Arial" w:cs="Arial" w:hint="eastAsia"/>
                <w:sz w:val="18"/>
                <w:szCs w:val="18"/>
                <w:lang w:eastAsia="ja-JP"/>
              </w:rPr>
              <w:t>Note: Agreed value does not mean non-ITS band is precluded for real deployment for sidelink</w:t>
            </w:r>
          </w:p>
        </w:tc>
        <w:tc>
          <w:tcPr>
            <w:tcW w:w="3500" w:type="dxa"/>
            <w:shd w:val="clear" w:color="auto" w:fill="auto"/>
          </w:tcPr>
          <w:p w14:paraId="272476EB" w14:textId="4CC1648E" w:rsidR="00E17229" w:rsidRPr="00527C42" w:rsidDel="00E17229" w:rsidRDefault="00E17229" w:rsidP="00DB4693">
            <w:pPr>
              <w:spacing w:after="0"/>
              <w:rPr>
                <w:rFonts w:ascii="Arial" w:hAnsi="Arial" w:cs="Arial"/>
                <w:bCs/>
                <w:sz w:val="18"/>
                <w:szCs w:val="18"/>
                <w:lang w:eastAsia="ja-JP"/>
              </w:rPr>
            </w:pPr>
            <w:r w:rsidRPr="00527C42">
              <w:rPr>
                <w:rFonts w:ascii="Arial" w:hAnsi="Arial" w:cs="Arial" w:hint="eastAsia"/>
                <w:sz w:val="18"/>
                <w:szCs w:val="18"/>
                <w:lang w:eastAsia="ja-JP"/>
              </w:rPr>
              <w:t>Macro to/from vehicle/pedestrian UE: 2 GHz or 4GHz</w:t>
            </w:r>
            <w:r w:rsidRPr="00527C42">
              <w:rPr>
                <w:rFonts w:ascii="Arial" w:hAnsi="Arial" w:cs="Arial" w:hint="eastAsia"/>
                <w:sz w:val="18"/>
                <w:szCs w:val="18"/>
                <w:lang w:eastAsia="ja-JP"/>
              </w:rPr>
              <w:br/>
              <w:t>Between vehicle/pedestrian UE: 6 GHz</w:t>
            </w:r>
            <w:r w:rsidRPr="00527C42">
              <w:rPr>
                <w:rFonts w:ascii="Arial" w:hAnsi="Arial" w:cs="Arial" w:hint="eastAsia"/>
                <w:sz w:val="18"/>
                <w:szCs w:val="18"/>
                <w:lang w:eastAsia="ja-JP"/>
              </w:rPr>
              <w:br/>
              <w:t>BS-type-RSU to/from vehicle/pedestrian UE: 4 GHz</w:t>
            </w:r>
            <w:r w:rsidRPr="00527C42">
              <w:rPr>
                <w:rFonts w:ascii="Arial" w:hAnsi="Arial" w:cs="Arial" w:hint="eastAsia"/>
                <w:sz w:val="18"/>
                <w:szCs w:val="18"/>
                <w:lang w:eastAsia="ja-JP"/>
              </w:rPr>
              <w:br/>
              <w:t>UE-type-RSU to/from vehicle/pedestrian UE: 6 GHz</w:t>
            </w:r>
            <w:r w:rsidRPr="00527C42">
              <w:rPr>
                <w:rFonts w:ascii="Arial" w:hAnsi="Arial" w:cs="Arial" w:hint="eastAsia"/>
                <w:sz w:val="18"/>
                <w:szCs w:val="18"/>
                <w:lang w:eastAsia="ja-JP"/>
              </w:rPr>
              <w:br/>
              <w:t>Note: Agreed value does not mean non-ITS band is precluded for real deployment for sidelink</w:t>
            </w:r>
          </w:p>
        </w:tc>
      </w:tr>
      <w:tr w:rsidR="00E17229" w:rsidRPr="009212C2" w14:paraId="499BCC57" w14:textId="77777777" w:rsidTr="00707846">
        <w:trPr>
          <w:trHeight w:val="1196"/>
          <w:jc w:val="center"/>
        </w:trPr>
        <w:tc>
          <w:tcPr>
            <w:tcW w:w="1615" w:type="dxa"/>
            <w:shd w:val="clear" w:color="auto" w:fill="auto"/>
          </w:tcPr>
          <w:p w14:paraId="224F6D1C" w14:textId="55D17D2A" w:rsidR="00E17229" w:rsidRPr="009212C2" w:rsidRDefault="00E17229" w:rsidP="00D1023E">
            <w:pPr>
              <w:spacing w:after="0"/>
              <w:rPr>
                <w:rFonts w:ascii="Arial" w:hAnsi="Arial" w:cs="Arial"/>
                <w:bCs/>
                <w:sz w:val="18"/>
                <w:szCs w:val="18"/>
                <w:lang w:eastAsia="ja-JP"/>
              </w:rPr>
            </w:pPr>
            <w:r w:rsidRPr="009212C2">
              <w:rPr>
                <w:rFonts w:ascii="Arial" w:hAnsi="Arial" w:cs="Arial"/>
                <w:bCs/>
                <w:sz w:val="18"/>
                <w:szCs w:val="18"/>
                <w:lang w:eastAsia="ja-JP"/>
              </w:rPr>
              <w:t>Channel model</w:t>
            </w:r>
          </w:p>
        </w:tc>
        <w:tc>
          <w:tcPr>
            <w:tcW w:w="3880" w:type="dxa"/>
            <w:shd w:val="clear" w:color="auto" w:fill="auto"/>
          </w:tcPr>
          <w:p w14:paraId="5C1988D6" w14:textId="2E2BA73C" w:rsidR="00E17229" w:rsidRPr="00527C42" w:rsidRDefault="00E17229" w:rsidP="00DB4693">
            <w:pPr>
              <w:spacing w:after="0"/>
              <w:rPr>
                <w:rFonts w:ascii="Arial" w:hAnsi="Arial" w:cs="Arial"/>
                <w:bCs/>
                <w:sz w:val="18"/>
                <w:szCs w:val="18"/>
                <w:lang w:eastAsia="ja-JP"/>
              </w:rPr>
            </w:pPr>
            <w:r w:rsidRPr="00527C42">
              <w:rPr>
                <w:rFonts w:ascii="Arial" w:hAnsi="Arial" w:cs="Arial" w:hint="eastAsia"/>
                <w:bCs/>
                <w:sz w:val="18"/>
                <w:szCs w:val="18"/>
                <w:lang w:eastAsia="ja-JP"/>
              </w:rPr>
              <w:t xml:space="preserve">Macro to/from vehicle/pedestrian UE: 3D UMa </w:t>
            </w:r>
            <w:r w:rsidRPr="00527C42">
              <w:rPr>
                <w:rFonts w:ascii="Arial" w:hAnsi="Arial" w:cs="Arial" w:hint="eastAsia"/>
                <w:bCs/>
                <w:sz w:val="18"/>
                <w:szCs w:val="18"/>
                <w:lang w:eastAsia="ja-JP"/>
              </w:rPr>
              <w:br/>
              <w:t>Between vehicle/pedestrian UE: V2X Channel model in TR36.885</w:t>
            </w:r>
            <w:r w:rsidRPr="00527C42">
              <w:rPr>
                <w:rFonts w:ascii="Arial" w:hAnsi="Arial" w:cs="Arial" w:hint="eastAsia"/>
                <w:bCs/>
                <w:sz w:val="18"/>
                <w:szCs w:val="18"/>
                <w:lang w:eastAsia="ja-JP"/>
              </w:rPr>
              <w:br/>
              <w:t>RSU to/from vehicle/pedestrian UE: V2X Channel model in TR36.885</w:t>
            </w:r>
          </w:p>
        </w:tc>
        <w:tc>
          <w:tcPr>
            <w:tcW w:w="3500" w:type="dxa"/>
            <w:shd w:val="clear" w:color="auto" w:fill="auto"/>
          </w:tcPr>
          <w:p w14:paraId="5AA36663" w14:textId="5BBB8794" w:rsidR="00E17229" w:rsidRPr="00527C42" w:rsidRDefault="00E17229" w:rsidP="00DB4693">
            <w:pPr>
              <w:spacing w:after="0"/>
              <w:rPr>
                <w:rFonts w:ascii="Arial" w:hAnsi="Arial" w:cs="Arial"/>
                <w:bCs/>
                <w:sz w:val="18"/>
                <w:szCs w:val="18"/>
                <w:lang w:eastAsia="ja-JP"/>
              </w:rPr>
            </w:pPr>
            <w:r w:rsidRPr="00527C42">
              <w:rPr>
                <w:rFonts w:ascii="Arial" w:hAnsi="Arial" w:cs="Arial" w:hint="eastAsia"/>
                <w:bCs/>
                <w:sz w:val="18"/>
                <w:szCs w:val="18"/>
                <w:lang w:eastAsia="ja-JP"/>
              </w:rPr>
              <w:t xml:space="preserve">Macro to/from vehicle/pedestrian UE: </w:t>
            </w:r>
            <w:r w:rsidRPr="00527C42">
              <w:rPr>
                <w:rFonts w:ascii="Arial" w:hAnsi="Arial" w:cs="Arial" w:hint="eastAsia"/>
                <w:bCs/>
                <w:sz w:val="18"/>
                <w:szCs w:val="18"/>
                <w:lang w:eastAsia="ja-JP"/>
              </w:rPr>
              <w:br/>
              <w:t xml:space="preserve">3D UMa for 500m ISD </w:t>
            </w:r>
            <w:r w:rsidRPr="00527C42">
              <w:rPr>
                <w:rFonts w:ascii="Arial" w:hAnsi="Arial" w:cs="Arial" w:hint="eastAsia"/>
                <w:bCs/>
                <w:sz w:val="18"/>
                <w:szCs w:val="18"/>
                <w:lang w:eastAsia="ja-JP"/>
              </w:rPr>
              <w:br/>
              <w:t>3D RMa for 1732m ISD (2D RMa may be used until 3D RMa is complete)</w:t>
            </w:r>
            <w:r w:rsidRPr="00527C42">
              <w:rPr>
                <w:rFonts w:ascii="Arial" w:hAnsi="Arial" w:cs="Arial" w:hint="eastAsia"/>
                <w:bCs/>
                <w:sz w:val="18"/>
                <w:szCs w:val="18"/>
                <w:lang w:eastAsia="ja-JP"/>
              </w:rPr>
              <w:br/>
              <w:t>Between vehicle/pedestrian UE: V2X Channel model in TR36.885</w:t>
            </w:r>
            <w:r w:rsidRPr="00527C42">
              <w:rPr>
                <w:rFonts w:ascii="Arial" w:hAnsi="Arial" w:cs="Arial" w:hint="eastAsia"/>
                <w:bCs/>
                <w:sz w:val="18"/>
                <w:szCs w:val="18"/>
                <w:lang w:eastAsia="ja-JP"/>
              </w:rPr>
              <w:br/>
              <w:t>RSU to/from vehicle/pedestrian UE: V2X Channel model in TR36.885</w:t>
            </w:r>
          </w:p>
        </w:tc>
      </w:tr>
    </w:tbl>
    <w:p w14:paraId="4B9D409B" w14:textId="48CDF543" w:rsidR="00161E99" w:rsidRDefault="00044839" w:rsidP="003466BF">
      <w:pPr>
        <w:pStyle w:val="BodyText"/>
        <w:spacing w:before="240" w:after="240"/>
        <w:jc w:val="both"/>
        <w:rPr>
          <w:sz w:val="20"/>
          <w:szCs w:val="20"/>
        </w:rPr>
      </w:pPr>
      <w:r>
        <w:rPr>
          <w:sz w:val="20"/>
          <w:szCs w:val="20"/>
        </w:rPr>
        <w:t>That means the channel model</w:t>
      </w:r>
      <w:r w:rsidR="00A07BF8">
        <w:rPr>
          <w:sz w:val="20"/>
          <w:szCs w:val="20"/>
        </w:rPr>
        <w:t>s</w:t>
      </w:r>
      <w:r>
        <w:rPr>
          <w:sz w:val="20"/>
          <w:szCs w:val="20"/>
        </w:rPr>
        <w:t xml:space="preserve"> for eV2X evaluation</w:t>
      </w:r>
      <w:r w:rsidR="00E17229">
        <w:rPr>
          <w:sz w:val="20"/>
          <w:szCs w:val="20"/>
        </w:rPr>
        <w:t xml:space="preserve"> at frequencies below 6GHz</w:t>
      </w:r>
      <w:r>
        <w:rPr>
          <w:sz w:val="20"/>
          <w:szCs w:val="20"/>
        </w:rPr>
        <w:t xml:space="preserve"> is the same as th</w:t>
      </w:r>
      <w:r w:rsidR="00A07BF8">
        <w:rPr>
          <w:sz w:val="20"/>
          <w:szCs w:val="20"/>
        </w:rPr>
        <w:t>ose</w:t>
      </w:r>
      <w:r>
        <w:rPr>
          <w:sz w:val="20"/>
          <w:szCs w:val="20"/>
        </w:rPr>
        <w:t xml:space="preserve"> of TR 36.885</w:t>
      </w:r>
      <w:r w:rsidR="00283BAD">
        <w:rPr>
          <w:sz w:val="20"/>
          <w:szCs w:val="20"/>
        </w:rPr>
        <w:t xml:space="preserve"> </w:t>
      </w:r>
      <w:r w:rsidR="00283BAD">
        <w:rPr>
          <w:sz w:val="20"/>
          <w:szCs w:val="20"/>
        </w:rPr>
        <w:fldChar w:fldCharType="begin"/>
      </w:r>
      <w:r w:rsidR="00283BAD">
        <w:rPr>
          <w:sz w:val="20"/>
          <w:szCs w:val="20"/>
        </w:rPr>
        <w:instrText xml:space="preserve"> REF _Ref462771794 \r \h </w:instrText>
      </w:r>
      <w:r w:rsidR="00283BAD">
        <w:rPr>
          <w:sz w:val="20"/>
          <w:szCs w:val="20"/>
        </w:rPr>
      </w:r>
      <w:r w:rsidR="00283BAD">
        <w:rPr>
          <w:sz w:val="20"/>
          <w:szCs w:val="20"/>
        </w:rPr>
        <w:fldChar w:fldCharType="separate"/>
      </w:r>
      <w:r w:rsidR="00FE249D">
        <w:rPr>
          <w:sz w:val="20"/>
          <w:szCs w:val="20"/>
        </w:rPr>
        <w:t>[2]</w:t>
      </w:r>
      <w:r w:rsidR="00283BAD">
        <w:rPr>
          <w:sz w:val="20"/>
          <w:szCs w:val="20"/>
        </w:rPr>
        <w:fldChar w:fldCharType="end"/>
      </w:r>
      <w:r>
        <w:rPr>
          <w:sz w:val="20"/>
          <w:szCs w:val="20"/>
        </w:rPr>
        <w:t xml:space="preserve">. </w:t>
      </w:r>
      <w:r w:rsidR="00A07BF8">
        <w:rPr>
          <w:sz w:val="20"/>
          <w:szCs w:val="20"/>
        </w:rPr>
        <w:t>However, we observe that these models have not captured some important physical effects that have practical impacts</w:t>
      </w:r>
      <w:r w:rsidR="00E17229">
        <w:rPr>
          <w:sz w:val="20"/>
          <w:szCs w:val="20"/>
        </w:rPr>
        <w:t xml:space="preserve">, especially when operating eV2X </w:t>
      </w:r>
      <w:r w:rsidR="00275591">
        <w:rPr>
          <w:sz w:val="20"/>
          <w:szCs w:val="20"/>
        </w:rPr>
        <w:t xml:space="preserve">with directive antennas or antenna arrays or </w:t>
      </w:r>
      <w:r w:rsidR="00E17229">
        <w:rPr>
          <w:sz w:val="20"/>
          <w:szCs w:val="20"/>
        </w:rPr>
        <w:t>at higher frequencies</w:t>
      </w:r>
      <w:r w:rsidR="00A07BF8">
        <w:rPr>
          <w:sz w:val="20"/>
          <w:szCs w:val="20"/>
        </w:rPr>
        <w:t xml:space="preserve">. </w:t>
      </w:r>
      <w:r w:rsidR="00E57EF0">
        <w:rPr>
          <w:sz w:val="20"/>
          <w:szCs w:val="20"/>
        </w:rPr>
        <w:t xml:space="preserve">In </w:t>
      </w:r>
      <w:r w:rsidR="00386ACA">
        <w:rPr>
          <w:sz w:val="20"/>
          <w:szCs w:val="20"/>
        </w:rPr>
        <w:fldChar w:fldCharType="begin"/>
      </w:r>
      <w:r w:rsidR="00386ACA">
        <w:rPr>
          <w:sz w:val="20"/>
          <w:szCs w:val="20"/>
        </w:rPr>
        <w:instrText xml:space="preserve"> REF _Ref462864524 \r \h </w:instrText>
      </w:r>
      <w:r w:rsidR="00386ACA">
        <w:rPr>
          <w:sz w:val="20"/>
          <w:szCs w:val="20"/>
        </w:rPr>
      </w:r>
      <w:r w:rsidR="00386ACA">
        <w:rPr>
          <w:sz w:val="20"/>
          <w:szCs w:val="20"/>
        </w:rPr>
        <w:fldChar w:fldCharType="separate"/>
      </w:r>
      <w:r w:rsidR="00FE249D">
        <w:rPr>
          <w:sz w:val="20"/>
          <w:szCs w:val="20"/>
        </w:rPr>
        <w:t>[3]</w:t>
      </w:r>
      <w:r w:rsidR="00386ACA">
        <w:rPr>
          <w:sz w:val="20"/>
          <w:szCs w:val="20"/>
        </w:rPr>
        <w:fldChar w:fldCharType="end"/>
      </w:r>
      <w:r w:rsidR="00E57EF0">
        <w:rPr>
          <w:sz w:val="20"/>
          <w:szCs w:val="20"/>
        </w:rPr>
        <w:t xml:space="preserve"> it was proposed to consider not only LOS and NLOS due to static objects (buildings) but also NLOS due to moving objects such as vehicles. Further, the evolution between these states was proposed to be modeled in a consistent manner. </w:t>
      </w:r>
      <w:r w:rsidR="00A07BF8">
        <w:rPr>
          <w:sz w:val="20"/>
          <w:szCs w:val="20"/>
        </w:rPr>
        <w:t xml:space="preserve">In this contribution we discuss </w:t>
      </w:r>
      <w:r w:rsidR="00E57EF0">
        <w:rPr>
          <w:sz w:val="20"/>
          <w:szCs w:val="20"/>
        </w:rPr>
        <w:t xml:space="preserve">how such proposed modeling could be realized through the use of the blocking model from </w:t>
      </w:r>
      <w:r w:rsidR="00386ACA">
        <w:rPr>
          <w:sz w:val="20"/>
          <w:szCs w:val="20"/>
        </w:rPr>
        <w:t xml:space="preserve">TR </w:t>
      </w:r>
      <w:r w:rsidR="00E57EF0">
        <w:rPr>
          <w:sz w:val="20"/>
          <w:szCs w:val="20"/>
        </w:rPr>
        <w:t>38.900</w:t>
      </w:r>
      <w:r w:rsidR="00B9319E">
        <w:rPr>
          <w:sz w:val="20"/>
          <w:szCs w:val="20"/>
        </w:rPr>
        <w:t xml:space="preserve"> [6]</w:t>
      </w:r>
      <w:r w:rsidR="00E57EF0">
        <w:rPr>
          <w:sz w:val="20"/>
          <w:szCs w:val="20"/>
        </w:rPr>
        <w:t xml:space="preserve">. Further, this contribution reviews other aspects of the existing models </w:t>
      </w:r>
      <w:r w:rsidR="00A07BF8">
        <w:rPr>
          <w:sz w:val="20"/>
          <w:szCs w:val="20"/>
        </w:rPr>
        <w:t>and propose changes to the models.</w:t>
      </w:r>
      <w:r w:rsidR="0097131F">
        <w:rPr>
          <w:sz w:val="20"/>
          <w:szCs w:val="20"/>
        </w:rPr>
        <w:t xml:space="preserve"> We focus on the channel models for V2V.</w:t>
      </w:r>
      <w:r w:rsidR="00161E99">
        <w:rPr>
          <w:sz w:val="20"/>
          <w:szCs w:val="20"/>
        </w:rPr>
        <w:t xml:space="preserve"> </w:t>
      </w:r>
    </w:p>
    <w:p w14:paraId="1C39DCAF" w14:textId="02896CA1" w:rsidR="003466BF" w:rsidRDefault="004D5267" w:rsidP="001C33A7">
      <w:pPr>
        <w:pStyle w:val="Heading1"/>
      </w:pPr>
      <w:bookmarkStart w:id="4" w:name="_Ref462776158"/>
      <w:r>
        <w:t>Update to channel models</w:t>
      </w:r>
      <w:bookmarkEnd w:id="4"/>
    </w:p>
    <w:p w14:paraId="19B673E4" w14:textId="5DAA26A9" w:rsidR="0097131F" w:rsidRDefault="00A07BF8" w:rsidP="008D13E7">
      <w:r>
        <w:t xml:space="preserve">The </w:t>
      </w:r>
      <w:r w:rsidR="0097131F">
        <w:t xml:space="preserve">V2V </w:t>
      </w:r>
      <w:r>
        <w:t xml:space="preserve">channel models </w:t>
      </w:r>
      <w:r w:rsidR="0097131F">
        <w:t>(for urban and free</w:t>
      </w:r>
      <w:r w:rsidR="008F4AD4">
        <w:t>way</w:t>
      </w:r>
      <w:r w:rsidR="0097131F">
        <w:t xml:space="preserve"> cases) </w:t>
      </w:r>
      <w:r>
        <w:t xml:space="preserve">in TR 36.885 </w:t>
      </w:r>
      <w:r w:rsidR="0097131F">
        <w:t xml:space="preserve">v14.0.0 </w:t>
      </w:r>
      <w:r w:rsidR="00283BAD">
        <w:fldChar w:fldCharType="begin"/>
      </w:r>
      <w:r w:rsidR="00283BAD">
        <w:instrText xml:space="preserve"> REF _Ref462771794 \r \h </w:instrText>
      </w:r>
      <w:r w:rsidR="00283BAD">
        <w:fldChar w:fldCharType="separate"/>
      </w:r>
      <w:r w:rsidR="00FE249D">
        <w:t>[2]</w:t>
      </w:r>
      <w:r w:rsidR="00283BAD">
        <w:fldChar w:fldCharType="end"/>
      </w:r>
      <w:r w:rsidR="00283BAD">
        <w:t xml:space="preserve"> </w:t>
      </w:r>
      <w:r w:rsidR="00F11673">
        <w:t>are given as follows</w:t>
      </w:r>
      <w:r w:rsidR="0097131F">
        <w:t>:</w:t>
      </w:r>
    </w:p>
    <w:p w14:paraId="7F521BBB" w14:textId="03F811BA" w:rsidR="00F11673" w:rsidRPr="00487473" w:rsidRDefault="00283BAD" w:rsidP="00283BAD">
      <w:pPr>
        <w:pStyle w:val="Caption"/>
        <w:jc w:val="center"/>
        <w:rPr>
          <w:lang w:val="en-US" w:eastAsia="ko-KR"/>
        </w:rPr>
      </w:pPr>
      <w:r>
        <w:t xml:space="preserve">Table </w:t>
      </w:r>
      <w:r>
        <w:fldChar w:fldCharType="begin"/>
      </w:r>
      <w:r>
        <w:instrText xml:space="preserve"> SEQ Table \* ARABIC </w:instrText>
      </w:r>
      <w:r>
        <w:fldChar w:fldCharType="separate"/>
      </w:r>
      <w:r w:rsidR="00FE249D">
        <w:rPr>
          <w:noProof/>
        </w:rPr>
        <w:t>2</w:t>
      </w:r>
      <w:r>
        <w:fldChar w:fldCharType="end"/>
      </w:r>
      <w:r w:rsidR="00F11673">
        <w:rPr>
          <w:lang w:eastAsia="ko-KR"/>
        </w:rPr>
        <w:t xml:space="preserve"> (</w:t>
      </w:r>
      <w:r w:rsidR="00F11673" w:rsidRPr="00487473">
        <w:rPr>
          <w:rFonts w:hint="eastAsia"/>
          <w:lang w:eastAsia="ko-KR"/>
        </w:rPr>
        <w:t>Table A.1.4-1</w:t>
      </w:r>
      <w:r w:rsidR="00F11673">
        <w:rPr>
          <w:lang w:eastAsia="ko-KR"/>
        </w:rPr>
        <w:t xml:space="preserve"> in</w:t>
      </w:r>
      <w:r>
        <w:rPr>
          <w:lang w:eastAsia="ko-KR"/>
        </w:rPr>
        <w:t xml:space="preserve"> </w:t>
      </w:r>
      <w:r>
        <w:rPr>
          <w:lang w:eastAsia="ko-KR"/>
        </w:rPr>
        <w:fldChar w:fldCharType="begin"/>
      </w:r>
      <w:r>
        <w:rPr>
          <w:lang w:eastAsia="ko-KR"/>
        </w:rPr>
        <w:instrText xml:space="preserve"> REF _Ref462771794 \r \h </w:instrText>
      </w:r>
      <w:r>
        <w:rPr>
          <w:lang w:eastAsia="ko-KR"/>
        </w:rPr>
      </w:r>
      <w:r>
        <w:rPr>
          <w:lang w:eastAsia="ko-KR"/>
        </w:rPr>
        <w:fldChar w:fldCharType="separate"/>
      </w:r>
      <w:r w:rsidR="00FE249D">
        <w:rPr>
          <w:lang w:eastAsia="ko-KR"/>
        </w:rPr>
        <w:t>[2]</w:t>
      </w:r>
      <w:r>
        <w:rPr>
          <w:lang w:eastAsia="ko-KR"/>
        </w:rPr>
        <w:fldChar w:fldCharType="end"/>
      </w:r>
      <w:r w:rsidR="00F11673">
        <w:rPr>
          <w:lang w:eastAsia="ko-KR"/>
        </w:rPr>
        <w:t>)</w:t>
      </w:r>
      <w:r w:rsidR="00F11673" w:rsidRPr="00487473">
        <w:rPr>
          <w:rFonts w:hint="eastAsia"/>
          <w:lang w:eastAsia="ko-KR"/>
        </w:rPr>
        <w:t>: Assumptions for vehicle-to-vehicle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73"/>
        <w:gridCol w:w="3873"/>
      </w:tblGrid>
      <w:tr w:rsidR="00F11673" w:rsidRPr="00487473" w14:paraId="7D3BB5F6" w14:textId="77777777" w:rsidTr="005F6537">
        <w:trPr>
          <w:jc w:val="center"/>
        </w:trPr>
        <w:tc>
          <w:tcPr>
            <w:tcW w:w="2093" w:type="dxa"/>
          </w:tcPr>
          <w:p w14:paraId="0BFECC86" w14:textId="77777777" w:rsidR="00F11673" w:rsidRPr="00487473" w:rsidRDefault="00F11673" w:rsidP="00AA4710">
            <w:pPr>
              <w:pStyle w:val="TAH"/>
              <w:rPr>
                <w:lang w:val="en-US" w:eastAsia="ko-KR"/>
              </w:rPr>
            </w:pPr>
            <w:r w:rsidRPr="00487473">
              <w:rPr>
                <w:rFonts w:hint="eastAsia"/>
                <w:lang w:val="en-US" w:eastAsia="ko-KR"/>
              </w:rPr>
              <w:t>Parameter</w:t>
            </w:r>
          </w:p>
        </w:tc>
        <w:tc>
          <w:tcPr>
            <w:tcW w:w="3873" w:type="dxa"/>
          </w:tcPr>
          <w:p w14:paraId="48F8E042" w14:textId="77777777" w:rsidR="00F11673" w:rsidRPr="00487473" w:rsidRDefault="00F11673" w:rsidP="00AA4710">
            <w:pPr>
              <w:pStyle w:val="TAH"/>
              <w:rPr>
                <w:lang w:val="en-US" w:eastAsia="ko-KR"/>
              </w:rPr>
            </w:pPr>
            <w:r w:rsidRPr="00487473">
              <w:rPr>
                <w:rFonts w:hint="eastAsia"/>
                <w:lang w:val="en-US" w:eastAsia="ko-KR"/>
              </w:rPr>
              <w:t>Urban case</w:t>
            </w:r>
          </w:p>
        </w:tc>
        <w:tc>
          <w:tcPr>
            <w:tcW w:w="3873" w:type="dxa"/>
          </w:tcPr>
          <w:p w14:paraId="0EC02AEE" w14:textId="77777777" w:rsidR="00F11673" w:rsidRPr="00487473" w:rsidRDefault="00F11673" w:rsidP="00AA4710">
            <w:pPr>
              <w:pStyle w:val="TAH"/>
              <w:rPr>
                <w:lang w:val="en-US" w:eastAsia="ko-KR"/>
              </w:rPr>
            </w:pPr>
            <w:r w:rsidRPr="00487473">
              <w:rPr>
                <w:rFonts w:hint="eastAsia"/>
                <w:lang w:val="en-US" w:eastAsia="ko-KR"/>
              </w:rPr>
              <w:t>Freeway case</w:t>
            </w:r>
          </w:p>
        </w:tc>
      </w:tr>
      <w:tr w:rsidR="00F11673" w:rsidRPr="00487473" w14:paraId="6E15A7FD" w14:textId="77777777" w:rsidTr="005F6537">
        <w:trPr>
          <w:jc w:val="center"/>
        </w:trPr>
        <w:tc>
          <w:tcPr>
            <w:tcW w:w="2093" w:type="dxa"/>
          </w:tcPr>
          <w:p w14:paraId="76C0A5D6" w14:textId="77777777" w:rsidR="00F11673" w:rsidRPr="00487473" w:rsidRDefault="00F11673" w:rsidP="00AA4710">
            <w:pPr>
              <w:pStyle w:val="TAL"/>
              <w:rPr>
                <w:lang w:val="en-US" w:eastAsia="ko-KR"/>
              </w:rPr>
            </w:pPr>
            <w:r w:rsidRPr="00487473">
              <w:rPr>
                <w:rFonts w:hint="eastAsia"/>
                <w:lang w:val="en-US" w:eastAsia="ko-KR"/>
              </w:rPr>
              <w:t>Pathloss model</w:t>
            </w:r>
          </w:p>
        </w:tc>
        <w:tc>
          <w:tcPr>
            <w:tcW w:w="3873" w:type="dxa"/>
          </w:tcPr>
          <w:p w14:paraId="57A6EC2A" w14:textId="77777777" w:rsidR="00F11673" w:rsidRPr="00487473" w:rsidRDefault="00F11673" w:rsidP="00AA4710">
            <w:pPr>
              <w:pStyle w:val="TAL"/>
              <w:rPr>
                <w:lang w:val="en-US" w:eastAsia="ko-KR"/>
              </w:rPr>
            </w:pPr>
            <w:r w:rsidRPr="00487473">
              <w:rPr>
                <w:lang w:val="en-US" w:eastAsia="ko-KR"/>
              </w:rPr>
              <w:t>WINNER+ B1 Manhattan grid layout (note that the antenna height should be set to 1.5 m.).</w:t>
            </w:r>
            <w:r w:rsidRPr="00487473">
              <w:rPr>
                <w:rFonts w:hint="eastAsia"/>
                <w:lang w:val="en-US" w:eastAsia="ko-KR"/>
              </w:rPr>
              <w:t xml:space="preserve"> </w:t>
            </w:r>
            <w:r w:rsidRPr="00487473">
              <w:rPr>
                <w:lang w:val="en-US" w:eastAsia="ko-KR"/>
              </w:rPr>
              <w:t>Pathloss at 3 m is used if the distance is less than 3 m.</w:t>
            </w:r>
          </w:p>
        </w:tc>
        <w:tc>
          <w:tcPr>
            <w:tcW w:w="3873" w:type="dxa"/>
          </w:tcPr>
          <w:p w14:paraId="39BEF6FA" w14:textId="77777777" w:rsidR="00F11673" w:rsidRPr="00487473" w:rsidRDefault="00F11673" w:rsidP="00AA4710">
            <w:pPr>
              <w:pStyle w:val="TAL"/>
              <w:rPr>
                <w:lang w:val="en-US" w:eastAsia="ko-KR"/>
              </w:rPr>
            </w:pPr>
            <w:r w:rsidRPr="00487473">
              <w:rPr>
                <w:lang w:val="en-US" w:eastAsia="ko-KR"/>
              </w:rPr>
              <w:t>LOS in WINNER+ B1 (note that the antenna height should be set to 1.5 m.)</w:t>
            </w:r>
            <w:r w:rsidRPr="00487473">
              <w:rPr>
                <w:rFonts w:hint="eastAsia"/>
                <w:lang w:val="en-US" w:eastAsia="ko-KR"/>
              </w:rPr>
              <w:t xml:space="preserve">. </w:t>
            </w:r>
            <w:r w:rsidRPr="00487473">
              <w:rPr>
                <w:lang w:val="en-US" w:eastAsia="ko-KR"/>
              </w:rPr>
              <w:t>Pathloss at 3 m is used if the distance is less than 3 m.</w:t>
            </w:r>
          </w:p>
        </w:tc>
      </w:tr>
      <w:tr w:rsidR="00F11673" w:rsidRPr="00487473" w14:paraId="5B496FB8" w14:textId="77777777" w:rsidTr="005F6537">
        <w:trPr>
          <w:jc w:val="center"/>
        </w:trPr>
        <w:tc>
          <w:tcPr>
            <w:tcW w:w="2093" w:type="dxa"/>
          </w:tcPr>
          <w:p w14:paraId="4FDA8693" w14:textId="77777777" w:rsidR="00F11673" w:rsidRPr="00487473" w:rsidRDefault="00F11673" w:rsidP="00AA4710">
            <w:pPr>
              <w:pStyle w:val="TAL"/>
              <w:rPr>
                <w:lang w:val="en-US" w:eastAsia="ko-KR"/>
              </w:rPr>
            </w:pPr>
            <w:r w:rsidRPr="00487473">
              <w:rPr>
                <w:rFonts w:hint="eastAsia"/>
                <w:lang w:val="en-US" w:eastAsia="ko-KR"/>
              </w:rPr>
              <w:t>Shadowing distribution</w:t>
            </w:r>
          </w:p>
        </w:tc>
        <w:tc>
          <w:tcPr>
            <w:tcW w:w="3873" w:type="dxa"/>
          </w:tcPr>
          <w:p w14:paraId="0D69A460" w14:textId="77777777" w:rsidR="00F11673" w:rsidRPr="00487473" w:rsidRDefault="00F11673" w:rsidP="00AA4710">
            <w:pPr>
              <w:pStyle w:val="TAL"/>
              <w:rPr>
                <w:lang w:val="en-US" w:eastAsia="ko-KR"/>
              </w:rPr>
            </w:pPr>
            <w:r w:rsidRPr="00487473">
              <w:rPr>
                <w:lang w:val="en-US" w:eastAsia="ko-KR"/>
              </w:rPr>
              <w:t>Log-normal</w:t>
            </w:r>
          </w:p>
        </w:tc>
        <w:tc>
          <w:tcPr>
            <w:tcW w:w="3873" w:type="dxa"/>
          </w:tcPr>
          <w:p w14:paraId="28D3AABA" w14:textId="77777777" w:rsidR="00F11673" w:rsidRPr="00487473" w:rsidRDefault="00F11673" w:rsidP="00AA4710">
            <w:pPr>
              <w:pStyle w:val="TAL"/>
              <w:rPr>
                <w:lang w:val="en-US" w:eastAsia="ko-KR"/>
              </w:rPr>
            </w:pPr>
            <w:r w:rsidRPr="00487473">
              <w:rPr>
                <w:lang w:val="en-US" w:eastAsia="ko-KR"/>
              </w:rPr>
              <w:t>Log-normal</w:t>
            </w:r>
          </w:p>
        </w:tc>
      </w:tr>
      <w:tr w:rsidR="00F11673" w:rsidRPr="00487473" w14:paraId="279610DC" w14:textId="77777777" w:rsidTr="005F6537">
        <w:trPr>
          <w:jc w:val="center"/>
        </w:trPr>
        <w:tc>
          <w:tcPr>
            <w:tcW w:w="2093" w:type="dxa"/>
          </w:tcPr>
          <w:p w14:paraId="2B4FD0FE" w14:textId="77777777" w:rsidR="00F11673" w:rsidRPr="00487473" w:rsidRDefault="00F11673" w:rsidP="00AA4710">
            <w:pPr>
              <w:pStyle w:val="TAL"/>
              <w:rPr>
                <w:lang w:val="en-US" w:eastAsia="ko-KR"/>
              </w:rPr>
            </w:pPr>
            <w:r w:rsidRPr="00487473">
              <w:rPr>
                <w:rFonts w:hint="eastAsia"/>
                <w:lang w:val="en-US" w:eastAsia="ko-KR"/>
              </w:rPr>
              <w:t>Shadowing standard deviation</w:t>
            </w:r>
          </w:p>
        </w:tc>
        <w:tc>
          <w:tcPr>
            <w:tcW w:w="3873" w:type="dxa"/>
          </w:tcPr>
          <w:p w14:paraId="30117060" w14:textId="77777777" w:rsidR="00F11673" w:rsidRPr="00487473" w:rsidRDefault="00F11673" w:rsidP="00AA4710">
            <w:pPr>
              <w:pStyle w:val="TAL"/>
              <w:rPr>
                <w:lang w:val="en-US" w:eastAsia="ko-KR"/>
              </w:rPr>
            </w:pPr>
            <w:r w:rsidRPr="00487473">
              <w:rPr>
                <w:rFonts w:hint="eastAsia"/>
                <w:lang w:val="en-US" w:eastAsia="ko-KR"/>
              </w:rPr>
              <w:t>3 dB for LOS and 4 dB for NLOS</w:t>
            </w:r>
          </w:p>
        </w:tc>
        <w:tc>
          <w:tcPr>
            <w:tcW w:w="3873" w:type="dxa"/>
          </w:tcPr>
          <w:p w14:paraId="2810CD05" w14:textId="77777777" w:rsidR="00F11673" w:rsidRPr="00487473" w:rsidRDefault="00F11673" w:rsidP="00AA4710">
            <w:pPr>
              <w:pStyle w:val="TAL"/>
              <w:rPr>
                <w:lang w:val="en-US" w:eastAsia="ko-KR"/>
              </w:rPr>
            </w:pPr>
            <w:r w:rsidRPr="00487473">
              <w:rPr>
                <w:rFonts w:hint="eastAsia"/>
                <w:lang w:val="en-US" w:eastAsia="ko-KR"/>
              </w:rPr>
              <w:t>3 dB</w:t>
            </w:r>
          </w:p>
        </w:tc>
      </w:tr>
      <w:tr w:rsidR="00F11673" w:rsidRPr="00487473" w14:paraId="1D46F100" w14:textId="77777777" w:rsidTr="005F6537">
        <w:trPr>
          <w:jc w:val="center"/>
        </w:trPr>
        <w:tc>
          <w:tcPr>
            <w:tcW w:w="2093" w:type="dxa"/>
          </w:tcPr>
          <w:p w14:paraId="43118BCF" w14:textId="77777777" w:rsidR="00F11673" w:rsidRPr="00487473" w:rsidRDefault="00F11673" w:rsidP="00AA4710">
            <w:pPr>
              <w:pStyle w:val="TAL"/>
              <w:rPr>
                <w:lang w:val="en-US" w:eastAsia="ko-KR"/>
              </w:rPr>
            </w:pPr>
            <w:r w:rsidRPr="00487473">
              <w:rPr>
                <w:rFonts w:hint="eastAsia"/>
                <w:lang w:val="en-US" w:eastAsia="ko-KR"/>
              </w:rPr>
              <w:t>Decorrelation distance</w:t>
            </w:r>
          </w:p>
        </w:tc>
        <w:tc>
          <w:tcPr>
            <w:tcW w:w="3873" w:type="dxa"/>
          </w:tcPr>
          <w:p w14:paraId="132D4D68" w14:textId="77777777" w:rsidR="00F11673" w:rsidRPr="00487473" w:rsidRDefault="00F11673" w:rsidP="00AA4710">
            <w:pPr>
              <w:pStyle w:val="TAL"/>
              <w:rPr>
                <w:lang w:val="en-US" w:eastAsia="ko-KR"/>
              </w:rPr>
            </w:pPr>
            <w:r w:rsidRPr="00487473">
              <w:rPr>
                <w:rFonts w:hint="eastAsia"/>
                <w:lang w:val="en-US" w:eastAsia="ko-KR"/>
              </w:rPr>
              <w:t>10 m</w:t>
            </w:r>
          </w:p>
        </w:tc>
        <w:tc>
          <w:tcPr>
            <w:tcW w:w="3873" w:type="dxa"/>
          </w:tcPr>
          <w:p w14:paraId="4BFF5404" w14:textId="77777777" w:rsidR="00F11673" w:rsidRPr="00487473" w:rsidRDefault="00F11673" w:rsidP="00AA4710">
            <w:pPr>
              <w:pStyle w:val="TAL"/>
              <w:rPr>
                <w:lang w:val="en-US" w:eastAsia="ko-KR"/>
              </w:rPr>
            </w:pPr>
            <w:r w:rsidRPr="00487473">
              <w:rPr>
                <w:rFonts w:hint="eastAsia"/>
                <w:lang w:val="en-US" w:eastAsia="ko-KR"/>
              </w:rPr>
              <w:t>25 m</w:t>
            </w:r>
          </w:p>
        </w:tc>
      </w:tr>
      <w:tr w:rsidR="00F11673" w:rsidRPr="00487473" w14:paraId="1B895709" w14:textId="77777777" w:rsidTr="005F6537">
        <w:trPr>
          <w:jc w:val="center"/>
        </w:trPr>
        <w:tc>
          <w:tcPr>
            <w:tcW w:w="2093" w:type="dxa"/>
          </w:tcPr>
          <w:p w14:paraId="459854C8" w14:textId="77777777" w:rsidR="00F11673" w:rsidRPr="00487473" w:rsidRDefault="00F11673" w:rsidP="00AA4710">
            <w:pPr>
              <w:pStyle w:val="TAL"/>
              <w:rPr>
                <w:lang w:val="en-US" w:eastAsia="ko-KR"/>
              </w:rPr>
            </w:pPr>
            <w:r w:rsidRPr="00487473">
              <w:rPr>
                <w:rFonts w:hint="eastAsia"/>
                <w:lang w:val="en-US" w:eastAsia="ko-KR"/>
              </w:rPr>
              <w:t>Fast fading</w:t>
            </w:r>
          </w:p>
        </w:tc>
        <w:tc>
          <w:tcPr>
            <w:tcW w:w="7746" w:type="dxa"/>
            <w:gridSpan w:val="2"/>
          </w:tcPr>
          <w:p w14:paraId="7FF956F1" w14:textId="346B8923" w:rsidR="00F11673" w:rsidRPr="00487473" w:rsidRDefault="00F11673" w:rsidP="00AA4710">
            <w:pPr>
              <w:pStyle w:val="TAL"/>
              <w:rPr>
                <w:lang w:val="en-US" w:eastAsia="ko-KR"/>
              </w:rPr>
            </w:pPr>
            <w:r w:rsidRPr="00487473">
              <w:rPr>
                <w:lang w:val="en-US" w:eastAsia="ko-KR"/>
              </w:rPr>
              <w:t xml:space="preserve">NLOS in </w:t>
            </w:r>
            <w:r w:rsidRPr="00487473">
              <w:rPr>
                <w:rFonts w:hint="eastAsia"/>
                <w:lang w:val="en-US" w:eastAsia="ko-KR"/>
              </w:rPr>
              <w:t xml:space="preserve">Section </w:t>
            </w:r>
            <w:r w:rsidRPr="00487473">
              <w:rPr>
                <w:lang w:val="en-US" w:eastAsia="ko-KR"/>
              </w:rPr>
              <w:t xml:space="preserve">A.2.1.2.1.1 or A.2.1.2.1.2 in </w:t>
            </w:r>
            <w:r w:rsidR="00593DDA">
              <w:rPr>
                <w:lang w:val="en-US" w:eastAsia="ko-KR"/>
              </w:rPr>
              <w:t>TR 36.843</w:t>
            </w:r>
            <w:r w:rsidRPr="00487473">
              <w:rPr>
                <w:lang w:val="en-US" w:eastAsia="ko-KR"/>
              </w:rPr>
              <w:t xml:space="preserve"> with fixed large scale parameters during the simulation.</w:t>
            </w:r>
          </w:p>
        </w:tc>
      </w:tr>
    </w:tbl>
    <w:p w14:paraId="2A532635" w14:textId="5314660D" w:rsidR="00A07BF8" w:rsidRDefault="005F6537" w:rsidP="00283BAD">
      <w:pPr>
        <w:spacing w:before="240"/>
      </w:pPr>
      <w:r>
        <w:t xml:space="preserve">The following </w:t>
      </w:r>
      <w:r w:rsidR="00401503">
        <w:t>observations</w:t>
      </w:r>
      <w:r>
        <w:t xml:space="preserve"> can be </w:t>
      </w:r>
      <w:r w:rsidR="00401503">
        <w:t>made</w:t>
      </w:r>
      <w:r>
        <w:t xml:space="preserve"> from the above table</w:t>
      </w:r>
      <w:r w:rsidR="00A07BF8">
        <w:t>:</w:t>
      </w:r>
    </w:p>
    <w:p w14:paraId="29D53B30" w14:textId="7282A06A" w:rsidR="008D13E7" w:rsidRPr="005F6537" w:rsidRDefault="00A07BF8" w:rsidP="005F6537">
      <w:pPr>
        <w:pStyle w:val="ListParagraph"/>
        <w:numPr>
          <w:ilvl w:val="0"/>
          <w:numId w:val="29"/>
        </w:numPr>
        <w:jc w:val="both"/>
        <w:rPr>
          <w:rFonts w:ascii="Times New Roman" w:hAnsi="Times New Roman" w:cs="Times New Roman"/>
          <w:sz w:val="20"/>
          <w:szCs w:val="20"/>
          <w:lang w:eastAsia="ko-KR"/>
        </w:rPr>
      </w:pPr>
      <w:r w:rsidRPr="005F6537">
        <w:rPr>
          <w:rFonts w:ascii="Times New Roman" w:hAnsi="Times New Roman" w:cs="Times New Roman"/>
          <w:sz w:val="20"/>
          <w:szCs w:val="20"/>
        </w:rPr>
        <w:t>The pathloss and shadowing</w:t>
      </w:r>
      <w:r w:rsidR="009D22FA" w:rsidRPr="005F6537">
        <w:rPr>
          <w:rFonts w:ascii="Times New Roman" w:hAnsi="Times New Roman" w:cs="Times New Roman"/>
          <w:sz w:val="20"/>
          <w:szCs w:val="20"/>
        </w:rPr>
        <w:t>, or in other words the LOS and NLOS due to blocking of static objects such as buildings, trees, etc.</w:t>
      </w:r>
      <w:r w:rsidRPr="005F6537">
        <w:rPr>
          <w:rFonts w:ascii="Times New Roman" w:hAnsi="Times New Roman" w:cs="Times New Roman"/>
          <w:sz w:val="20"/>
          <w:szCs w:val="20"/>
        </w:rPr>
        <w:t xml:space="preserve"> were captured, but the effect of </w:t>
      </w:r>
      <w:r w:rsidR="005D5CF3" w:rsidRPr="005F6537">
        <w:rPr>
          <w:rFonts w:ascii="Times New Roman" w:hAnsi="Times New Roman" w:cs="Times New Roman"/>
          <w:sz w:val="20"/>
          <w:szCs w:val="20"/>
        </w:rPr>
        <w:t xml:space="preserve">signal </w:t>
      </w:r>
      <w:r w:rsidRPr="005F6537">
        <w:rPr>
          <w:rFonts w:ascii="Times New Roman" w:hAnsi="Times New Roman" w:cs="Times New Roman"/>
          <w:sz w:val="20"/>
          <w:szCs w:val="20"/>
        </w:rPr>
        <w:t xml:space="preserve">blocking </w:t>
      </w:r>
      <w:r w:rsidR="009D22FA" w:rsidRPr="005F6537">
        <w:rPr>
          <w:rFonts w:ascii="Times New Roman" w:hAnsi="Times New Roman" w:cs="Times New Roman"/>
          <w:sz w:val="20"/>
          <w:szCs w:val="20"/>
        </w:rPr>
        <w:t>due to</w:t>
      </w:r>
      <w:r w:rsidRPr="005F6537">
        <w:rPr>
          <w:rFonts w:ascii="Times New Roman" w:hAnsi="Times New Roman" w:cs="Times New Roman"/>
          <w:sz w:val="20"/>
          <w:szCs w:val="20"/>
        </w:rPr>
        <w:t xml:space="preserve"> moving objects such as other vehicles were not captured. </w:t>
      </w:r>
      <w:r w:rsidRPr="005F6537">
        <w:rPr>
          <w:rFonts w:ascii="Times New Roman" w:hAnsi="Times New Roman" w:cs="Times New Roman"/>
          <w:sz w:val="20"/>
          <w:szCs w:val="20"/>
        </w:rPr>
        <w:lastRenderedPageBreak/>
        <w:t>In practice</w:t>
      </w:r>
      <w:r w:rsidR="005D5CF3" w:rsidRPr="005F6537">
        <w:rPr>
          <w:rFonts w:ascii="Times New Roman" w:hAnsi="Times New Roman" w:cs="Times New Roman"/>
          <w:sz w:val="20"/>
          <w:szCs w:val="20"/>
        </w:rPr>
        <w:t>,</w:t>
      </w:r>
      <w:r w:rsidRPr="005F6537">
        <w:rPr>
          <w:rFonts w:ascii="Times New Roman" w:hAnsi="Times New Roman" w:cs="Times New Roman"/>
          <w:sz w:val="20"/>
          <w:szCs w:val="20"/>
        </w:rPr>
        <w:t xml:space="preserve"> the loss due to </w:t>
      </w:r>
      <w:r w:rsidR="009D22FA" w:rsidRPr="005F6537">
        <w:rPr>
          <w:rFonts w:ascii="Times New Roman" w:hAnsi="Times New Roman" w:cs="Times New Roman"/>
          <w:sz w:val="20"/>
          <w:szCs w:val="20"/>
        </w:rPr>
        <w:t xml:space="preserve">moving obstacles </w:t>
      </w:r>
      <w:r w:rsidRPr="005F6537">
        <w:rPr>
          <w:rFonts w:ascii="Times New Roman" w:hAnsi="Times New Roman" w:cs="Times New Roman"/>
          <w:sz w:val="20"/>
          <w:szCs w:val="20"/>
        </w:rPr>
        <w:t>can</w:t>
      </w:r>
      <w:r w:rsidR="008F4AD4">
        <w:rPr>
          <w:rFonts w:ascii="Times New Roman" w:hAnsi="Times New Roman" w:cs="Times New Roman"/>
          <w:sz w:val="20"/>
          <w:szCs w:val="20"/>
        </w:rPr>
        <w:t>not be ignored</w:t>
      </w:r>
      <w:r w:rsidRPr="005F6537">
        <w:rPr>
          <w:rFonts w:ascii="Times New Roman" w:hAnsi="Times New Roman" w:cs="Times New Roman"/>
          <w:sz w:val="20"/>
          <w:szCs w:val="20"/>
        </w:rPr>
        <w:t xml:space="preserve">, especially </w:t>
      </w:r>
      <w:r w:rsidR="00C4031E">
        <w:rPr>
          <w:rFonts w:ascii="Times New Roman" w:hAnsi="Times New Roman" w:cs="Times New Roman"/>
          <w:sz w:val="20"/>
          <w:szCs w:val="20"/>
        </w:rPr>
        <w:t>in dense traffic scenarios, also because</w:t>
      </w:r>
      <w:r w:rsidRPr="005F6537">
        <w:rPr>
          <w:rFonts w:ascii="Times New Roman" w:hAnsi="Times New Roman" w:cs="Times New Roman"/>
          <w:sz w:val="20"/>
          <w:szCs w:val="20"/>
        </w:rPr>
        <w:t xml:space="preserve"> vehicles’ antenna</w:t>
      </w:r>
      <w:r w:rsidR="005D5CF3" w:rsidRPr="005F6537">
        <w:rPr>
          <w:rFonts w:ascii="Times New Roman" w:hAnsi="Times New Roman" w:cs="Times New Roman"/>
          <w:sz w:val="20"/>
          <w:szCs w:val="20"/>
        </w:rPr>
        <w:t>s</w:t>
      </w:r>
      <w:r w:rsidRPr="005F6537">
        <w:rPr>
          <w:rFonts w:ascii="Times New Roman" w:hAnsi="Times New Roman" w:cs="Times New Roman"/>
          <w:sz w:val="20"/>
          <w:szCs w:val="20"/>
        </w:rPr>
        <w:t xml:space="preserve"> can be </w:t>
      </w:r>
      <w:r w:rsidR="009D22FA" w:rsidRPr="005F6537">
        <w:rPr>
          <w:rFonts w:ascii="Times New Roman" w:hAnsi="Times New Roman" w:cs="Times New Roman"/>
          <w:sz w:val="20"/>
          <w:szCs w:val="20"/>
        </w:rPr>
        <w:t>placed</w:t>
      </w:r>
      <w:r w:rsidRPr="005F6537">
        <w:rPr>
          <w:rFonts w:ascii="Times New Roman" w:hAnsi="Times New Roman" w:cs="Times New Roman"/>
          <w:sz w:val="20"/>
          <w:szCs w:val="20"/>
        </w:rPr>
        <w:t xml:space="preserve"> at low positions like at the bumpers, as discussed in our companion contribution</w:t>
      </w:r>
      <w:r w:rsidR="008F4AD4">
        <w:rPr>
          <w:rFonts w:ascii="Times New Roman" w:hAnsi="Times New Roman" w:cs="Times New Roman"/>
          <w:sz w:val="20"/>
          <w:szCs w:val="20"/>
        </w:rPr>
        <w:t xml:space="preserve"> </w:t>
      </w:r>
      <w:r w:rsidR="008F4AD4">
        <w:rPr>
          <w:rFonts w:ascii="Times New Roman" w:hAnsi="Times New Roman" w:cs="Times New Roman"/>
          <w:sz w:val="20"/>
          <w:szCs w:val="20"/>
        </w:rPr>
        <w:fldChar w:fldCharType="begin"/>
      </w:r>
      <w:r w:rsidR="008F4AD4">
        <w:rPr>
          <w:rFonts w:ascii="Times New Roman" w:hAnsi="Times New Roman" w:cs="Times New Roman"/>
          <w:sz w:val="20"/>
          <w:szCs w:val="20"/>
        </w:rPr>
        <w:instrText xml:space="preserve"> REF _Ref462777576 \r \h </w:instrText>
      </w:r>
      <w:r w:rsidR="008F4AD4">
        <w:rPr>
          <w:rFonts w:ascii="Times New Roman" w:hAnsi="Times New Roman" w:cs="Times New Roman"/>
          <w:sz w:val="20"/>
          <w:szCs w:val="20"/>
        </w:rPr>
      </w:r>
      <w:r w:rsidR="008F4AD4">
        <w:rPr>
          <w:rFonts w:ascii="Times New Roman" w:hAnsi="Times New Roman" w:cs="Times New Roman"/>
          <w:sz w:val="20"/>
          <w:szCs w:val="20"/>
        </w:rPr>
        <w:fldChar w:fldCharType="separate"/>
      </w:r>
      <w:r w:rsidR="00FE249D">
        <w:rPr>
          <w:rFonts w:ascii="Times New Roman" w:hAnsi="Times New Roman" w:cs="Times New Roman"/>
          <w:sz w:val="20"/>
          <w:szCs w:val="20"/>
        </w:rPr>
        <w:t>[4]</w:t>
      </w:r>
      <w:r w:rsidR="008F4AD4">
        <w:rPr>
          <w:rFonts w:ascii="Times New Roman" w:hAnsi="Times New Roman" w:cs="Times New Roman"/>
          <w:sz w:val="20"/>
          <w:szCs w:val="20"/>
        </w:rPr>
        <w:fldChar w:fldCharType="end"/>
      </w:r>
      <w:r w:rsidR="008D13E7" w:rsidRPr="005F6537">
        <w:rPr>
          <w:rFonts w:ascii="Times New Roman" w:hAnsi="Times New Roman" w:cs="Times New Roman"/>
          <w:sz w:val="20"/>
          <w:szCs w:val="20"/>
          <w:lang w:eastAsia="ko-KR"/>
        </w:rPr>
        <w:t>.</w:t>
      </w:r>
      <w:r w:rsidR="005D5CF3" w:rsidRPr="005F6537">
        <w:rPr>
          <w:rFonts w:ascii="Times New Roman" w:hAnsi="Times New Roman" w:cs="Times New Roman"/>
          <w:sz w:val="20"/>
          <w:szCs w:val="20"/>
          <w:lang w:eastAsia="ko-KR"/>
        </w:rPr>
        <w:t xml:space="preserve"> </w:t>
      </w:r>
      <w:r w:rsidR="009D22FA" w:rsidRPr="005F6537">
        <w:rPr>
          <w:rFonts w:ascii="Times New Roman" w:hAnsi="Times New Roman" w:cs="Times New Roman"/>
          <w:sz w:val="20"/>
          <w:szCs w:val="20"/>
          <w:lang w:eastAsia="ko-KR"/>
        </w:rPr>
        <w:t xml:space="preserve">It is also important to note that the blocking effect is </w:t>
      </w:r>
      <w:r w:rsidR="008F4AD4">
        <w:rPr>
          <w:rFonts w:ascii="Times New Roman" w:hAnsi="Times New Roman" w:cs="Times New Roman"/>
          <w:sz w:val="20"/>
          <w:szCs w:val="20"/>
          <w:lang w:eastAsia="ko-KR"/>
        </w:rPr>
        <w:t>already significant</w:t>
      </w:r>
      <w:r w:rsidR="009D22FA" w:rsidRPr="005F6537">
        <w:rPr>
          <w:rFonts w:ascii="Times New Roman" w:hAnsi="Times New Roman" w:cs="Times New Roman"/>
          <w:sz w:val="20"/>
          <w:szCs w:val="20"/>
          <w:lang w:eastAsia="ko-KR"/>
        </w:rPr>
        <w:t xml:space="preserve"> at frequencies below 6GHz even though it </w:t>
      </w:r>
      <w:r w:rsidR="005D5CF3" w:rsidRPr="005F6537">
        <w:rPr>
          <w:rFonts w:ascii="Times New Roman" w:hAnsi="Times New Roman" w:cs="Times New Roman"/>
          <w:sz w:val="20"/>
          <w:szCs w:val="20"/>
          <w:lang w:eastAsia="ko-KR"/>
        </w:rPr>
        <w:t xml:space="preserve">is </w:t>
      </w:r>
      <w:r w:rsidR="009D22FA" w:rsidRPr="005F6537">
        <w:rPr>
          <w:rFonts w:ascii="Times New Roman" w:hAnsi="Times New Roman" w:cs="Times New Roman"/>
          <w:sz w:val="20"/>
          <w:szCs w:val="20"/>
          <w:lang w:eastAsia="ko-KR"/>
        </w:rPr>
        <w:t xml:space="preserve">generally </w:t>
      </w:r>
      <w:r w:rsidR="005D5CF3" w:rsidRPr="005F6537">
        <w:rPr>
          <w:rFonts w:ascii="Times New Roman" w:hAnsi="Times New Roman" w:cs="Times New Roman"/>
          <w:sz w:val="20"/>
          <w:szCs w:val="20"/>
          <w:lang w:eastAsia="ko-KR"/>
        </w:rPr>
        <w:t xml:space="preserve">more </w:t>
      </w:r>
      <w:r w:rsidR="009D22FA" w:rsidRPr="005F6537">
        <w:rPr>
          <w:rFonts w:ascii="Times New Roman" w:hAnsi="Times New Roman" w:cs="Times New Roman"/>
          <w:sz w:val="20"/>
          <w:szCs w:val="20"/>
          <w:lang w:eastAsia="ko-KR"/>
        </w:rPr>
        <w:t>severe</w:t>
      </w:r>
      <w:r w:rsidR="005D5CF3" w:rsidRPr="005F6537">
        <w:rPr>
          <w:rFonts w:ascii="Times New Roman" w:hAnsi="Times New Roman" w:cs="Times New Roman"/>
          <w:sz w:val="20"/>
          <w:szCs w:val="20"/>
          <w:lang w:eastAsia="ko-KR"/>
        </w:rPr>
        <w:t xml:space="preserve"> </w:t>
      </w:r>
      <w:r w:rsidR="009D22FA" w:rsidRPr="005F6537">
        <w:rPr>
          <w:rFonts w:ascii="Times New Roman" w:hAnsi="Times New Roman" w:cs="Times New Roman"/>
          <w:sz w:val="20"/>
          <w:szCs w:val="20"/>
          <w:lang w:eastAsia="ko-KR"/>
        </w:rPr>
        <w:t>at</w:t>
      </w:r>
      <w:r w:rsidR="005D5CF3" w:rsidRPr="005F6537">
        <w:rPr>
          <w:rFonts w:ascii="Times New Roman" w:hAnsi="Times New Roman" w:cs="Times New Roman"/>
          <w:sz w:val="20"/>
          <w:szCs w:val="20"/>
          <w:lang w:eastAsia="ko-KR"/>
        </w:rPr>
        <w:t xml:space="preserve"> higher frequencies.</w:t>
      </w:r>
    </w:p>
    <w:p w14:paraId="70C397CA" w14:textId="17B83121" w:rsidR="005F6537" w:rsidRDefault="009D22FA" w:rsidP="00707846">
      <w:pPr>
        <w:pStyle w:val="ListParagraph"/>
        <w:numPr>
          <w:ilvl w:val="0"/>
          <w:numId w:val="29"/>
        </w:numPr>
        <w:spacing w:before="240"/>
        <w:jc w:val="both"/>
        <w:rPr>
          <w:rFonts w:ascii="Times New Roman" w:hAnsi="Times New Roman" w:cs="Times New Roman"/>
          <w:sz w:val="20"/>
          <w:szCs w:val="20"/>
          <w:lang w:eastAsia="ko-KR"/>
        </w:rPr>
      </w:pPr>
      <w:r w:rsidRPr="005F6537">
        <w:rPr>
          <w:rFonts w:ascii="Times New Roman" w:hAnsi="Times New Roman" w:cs="Times New Roman"/>
          <w:sz w:val="20"/>
          <w:szCs w:val="20"/>
        </w:rPr>
        <w:t>The current ch</w:t>
      </w:r>
      <w:r w:rsidR="005F6537">
        <w:rPr>
          <w:rFonts w:ascii="Times New Roman" w:hAnsi="Times New Roman" w:cs="Times New Roman"/>
          <w:sz w:val="20"/>
          <w:szCs w:val="20"/>
        </w:rPr>
        <w:t>annel</w:t>
      </w:r>
      <w:r w:rsidRPr="005F6537">
        <w:rPr>
          <w:rFonts w:ascii="Times New Roman" w:hAnsi="Times New Roman" w:cs="Times New Roman"/>
          <w:sz w:val="20"/>
          <w:szCs w:val="20"/>
        </w:rPr>
        <w:t xml:space="preserve"> model</w:t>
      </w:r>
      <w:r w:rsidR="005F6537">
        <w:rPr>
          <w:rFonts w:ascii="Times New Roman" w:hAnsi="Times New Roman" w:cs="Times New Roman"/>
          <w:sz w:val="20"/>
          <w:szCs w:val="20"/>
        </w:rPr>
        <w:t>s</w:t>
      </w:r>
      <w:r w:rsidRPr="005F6537">
        <w:rPr>
          <w:rFonts w:ascii="Times New Roman" w:hAnsi="Times New Roman" w:cs="Times New Roman"/>
          <w:sz w:val="20"/>
          <w:szCs w:val="20"/>
        </w:rPr>
        <w:t xml:space="preserve"> assume implicitly omnidirectional antennas. However, for </w:t>
      </w:r>
      <w:r w:rsidR="005F6537">
        <w:rPr>
          <w:rFonts w:ascii="Times New Roman" w:hAnsi="Times New Roman" w:cs="Times New Roman"/>
          <w:sz w:val="20"/>
          <w:szCs w:val="20"/>
        </w:rPr>
        <w:t>eV2</w:t>
      </w:r>
      <w:r w:rsidR="00593DDA">
        <w:rPr>
          <w:rFonts w:ascii="Times New Roman" w:hAnsi="Times New Roman" w:cs="Times New Roman"/>
          <w:sz w:val="20"/>
          <w:szCs w:val="20"/>
        </w:rPr>
        <w:t>V</w:t>
      </w:r>
      <w:r w:rsidRPr="005F6537">
        <w:rPr>
          <w:rFonts w:ascii="Times New Roman" w:hAnsi="Times New Roman" w:cs="Times New Roman"/>
          <w:sz w:val="20"/>
          <w:szCs w:val="20"/>
        </w:rPr>
        <w:t xml:space="preserve"> we expect </w:t>
      </w:r>
      <w:r w:rsidR="005F6537">
        <w:rPr>
          <w:rFonts w:ascii="Times New Roman" w:hAnsi="Times New Roman" w:cs="Times New Roman"/>
          <w:sz w:val="20"/>
          <w:szCs w:val="20"/>
        </w:rPr>
        <w:t>vehicles</w:t>
      </w:r>
      <w:r w:rsidRPr="005F6537">
        <w:rPr>
          <w:rFonts w:ascii="Times New Roman" w:hAnsi="Times New Roman" w:cs="Times New Roman"/>
          <w:sz w:val="20"/>
          <w:szCs w:val="20"/>
        </w:rPr>
        <w:t xml:space="preserve"> to implement multiple</w:t>
      </w:r>
      <w:r w:rsidR="005F6537">
        <w:rPr>
          <w:rFonts w:ascii="Times New Roman" w:hAnsi="Times New Roman" w:cs="Times New Roman"/>
          <w:sz w:val="20"/>
          <w:szCs w:val="20"/>
        </w:rPr>
        <w:t xml:space="preserve"> antenna</w:t>
      </w:r>
      <w:r w:rsidRPr="005F6537">
        <w:rPr>
          <w:rFonts w:ascii="Times New Roman" w:hAnsi="Times New Roman" w:cs="Times New Roman"/>
          <w:sz w:val="20"/>
          <w:szCs w:val="20"/>
        </w:rPr>
        <w:t xml:space="preserve"> arrays as one of the options to be evaluated, </w:t>
      </w:r>
      <w:r w:rsidR="005F6537">
        <w:rPr>
          <w:rFonts w:ascii="Times New Roman" w:hAnsi="Times New Roman" w:cs="Times New Roman"/>
          <w:sz w:val="20"/>
          <w:szCs w:val="20"/>
        </w:rPr>
        <w:t>e.g.,</w:t>
      </w:r>
      <w:r w:rsidRPr="005F6537">
        <w:rPr>
          <w:rFonts w:ascii="Times New Roman" w:hAnsi="Times New Roman" w:cs="Times New Roman"/>
          <w:sz w:val="20"/>
          <w:szCs w:val="20"/>
        </w:rPr>
        <w:t xml:space="preserve"> an array in the front and one in the back, or even </w:t>
      </w:r>
      <w:r w:rsidR="008F4AD4">
        <w:rPr>
          <w:rFonts w:ascii="Times New Roman" w:hAnsi="Times New Roman" w:cs="Times New Roman"/>
          <w:sz w:val="20"/>
          <w:szCs w:val="20"/>
        </w:rPr>
        <w:t>four</w:t>
      </w:r>
      <w:r w:rsidRPr="005F6537">
        <w:rPr>
          <w:rFonts w:ascii="Times New Roman" w:hAnsi="Times New Roman" w:cs="Times New Roman"/>
          <w:sz w:val="20"/>
          <w:szCs w:val="20"/>
        </w:rPr>
        <w:t xml:space="preserve"> arrays at all sides.</w:t>
      </w:r>
      <w:r w:rsidR="005F6537">
        <w:rPr>
          <w:rFonts w:ascii="Times New Roman" w:hAnsi="Times New Roman" w:cs="Times New Roman"/>
          <w:sz w:val="20"/>
          <w:szCs w:val="20"/>
        </w:rPr>
        <w:t xml:space="preserve"> As a result, some modification is needed to reflect the directional transmission.</w:t>
      </w:r>
    </w:p>
    <w:p w14:paraId="709531CF" w14:textId="03059E9E" w:rsidR="00AA41B3" w:rsidRDefault="00B26FEF" w:rsidP="00707846">
      <w:pPr>
        <w:pStyle w:val="ListParagraph"/>
        <w:numPr>
          <w:ilvl w:val="0"/>
          <w:numId w:val="29"/>
        </w:numPr>
        <w:spacing w:before="240"/>
        <w:jc w:val="both"/>
        <w:rPr>
          <w:rFonts w:ascii="Times New Roman" w:hAnsi="Times New Roman" w:cs="Times New Roman"/>
          <w:sz w:val="20"/>
          <w:szCs w:val="20"/>
        </w:rPr>
      </w:pPr>
      <w:r>
        <w:rPr>
          <w:rFonts w:ascii="Times New Roman" w:hAnsi="Times New Roman" w:cs="Times New Roman"/>
          <w:sz w:val="20"/>
          <w:szCs w:val="20"/>
        </w:rPr>
        <w:t>Only NLOS is assumed for modelling</w:t>
      </w:r>
      <w:r w:rsidR="00AA41B3">
        <w:rPr>
          <w:rFonts w:ascii="Times New Roman" w:hAnsi="Times New Roman" w:cs="Times New Roman"/>
          <w:sz w:val="20"/>
          <w:szCs w:val="20"/>
        </w:rPr>
        <w:t xml:space="preserve"> fast fading and a </w:t>
      </w:r>
      <w:r w:rsidRPr="00410087">
        <w:rPr>
          <w:rFonts w:ascii="Times New Roman" w:hAnsi="Times New Roman" w:cs="Times New Roman"/>
          <w:sz w:val="20"/>
          <w:szCs w:val="20"/>
        </w:rPr>
        <w:t>u</w:t>
      </w:r>
      <w:r w:rsidR="00AA41B3" w:rsidRPr="00707846">
        <w:rPr>
          <w:rFonts w:ascii="Times New Roman" w:hAnsi="Times New Roman" w:cs="Times New Roman"/>
          <w:sz w:val="20"/>
          <w:szCs w:val="20"/>
        </w:rPr>
        <w:t>niform AOA spread of 104 degrees</w:t>
      </w:r>
      <w:r w:rsidR="00AA41B3">
        <w:rPr>
          <w:rFonts w:ascii="Times New Roman" w:hAnsi="Times New Roman" w:cs="Times New Roman"/>
          <w:sz w:val="20"/>
          <w:szCs w:val="20"/>
        </w:rPr>
        <w:t xml:space="preserve"> is assumed for Doppler modelling</w:t>
      </w:r>
      <w:r>
        <w:rPr>
          <w:rFonts w:ascii="Times New Roman" w:hAnsi="Times New Roman" w:cs="Times New Roman"/>
          <w:sz w:val="20"/>
          <w:szCs w:val="20"/>
        </w:rPr>
        <w:t xml:space="preserve"> (Section </w:t>
      </w:r>
      <w:r w:rsidRPr="00707846">
        <w:rPr>
          <w:rFonts w:ascii="Times New Roman" w:hAnsi="Times New Roman" w:cs="Times New Roman"/>
          <w:sz w:val="20"/>
          <w:szCs w:val="20"/>
        </w:rPr>
        <w:t>A.2.1.2.1.1 in TR 36.843)</w:t>
      </w:r>
      <w:r w:rsidR="00AA41B3" w:rsidRPr="00707846">
        <w:rPr>
          <w:rFonts w:ascii="Times New Roman" w:hAnsi="Times New Roman" w:cs="Times New Roman"/>
          <w:sz w:val="20"/>
          <w:szCs w:val="20"/>
        </w:rPr>
        <w:t>. These assump</w:t>
      </w:r>
      <w:r w:rsidR="00AA41B3">
        <w:rPr>
          <w:rFonts w:ascii="Times New Roman" w:hAnsi="Times New Roman" w:cs="Times New Roman"/>
          <w:sz w:val="20"/>
          <w:szCs w:val="20"/>
        </w:rPr>
        <w:t>tions are not plausible in eV2X where directional transmission techniques</w:t>
      </w:r>
      <w:r>
        <w:rPr>
          <w:rFonts w:ascii="Times New Roman" w:hAnsi="Times New Roman" w:cs="Times New Roman"/>
          <w:sz w:val="20"/>
          <w:szCs w:val="20"/>
        </w:rPr>
        <w:t xml:space="preserve"> play an important role.</w:t>
      </w:r>
      <w:r w:rsidR="00AA41B3">
        <w:rPr>
          <w:rFonts w:ascii="Times New Roman" w:hAnsi="Times New Roman" w:cs="Times New Roman"/>
          <w:sz w:val="20"/>
          <w:szCs w:val="20"/>
        </w:rPr>
        <w:t xml:space="preserve"> </w:t>
      </w:r>
    </w:p>
    <w:p w14:paraId="07B01C60" w14:textId="32213D9F" w:rsidR="00401503" w:rsidRDefault="005F6537" w:rsidP="00707846">
      <w:pPr>
        <w:pStyle w:val="ListParagraph"/>
        <w:numPr>
          <w:ilvl w:val="0"/>
          <w:numId w:val="29"/>
        </w:numPr>
        <w:spacing w:before="240"/>
        <w:jc w:val="both"/>
        <w:rPr>
          <w:rFonts w:ascii="Times New Roman" w:hAnsi="Times New Roman" w:cs="Times New Roman"/>
          <w:sz w:val="20"/>
          <w:szCs w:val="20"/>
        </w:rPr>
      </w:pPr>
      <w:r>
        <w:rPr>
          <w:rFonts w:ascii="Times New Roman" w:hAnsi="Times New Roman" w:cs="Times New Roman"/>
          <w:sz w:val="20"/>
          <w:szCs w:val="20"/>
        </w:rPr>
        <w:t xml:space="preserve">According to the procedure </w:t>
      </w:r>
      <w:r w:rsidR="00111D3D">
        <w:rPr>
          <w:rFonts w:ascii="Times New Roman" w:hAnsi="Times New Roman" w:cs="Times New Roman"/>
          <w:sz w:val="20"/>
          <w:szCs w:val="20"/>
        </w:rPr>
        <w:t xml:space="preserve">for generating channel coefficients in the model, which is detailed in Annex 1 of </w:t>
      </w:r>
      <w:r w:rsidR="00111D3D">
        <w:rPr>
          <w:rFonts w:ascii="Times New Roman" w:hAnsi="Times New Roman" w:cs="Times New Roman"/>
          <w:sz w:val="20"/>
          <w:szCs w:val="20"/>
        </w:rPr>
        <w:fldChar w:fldCharType="begin"/>
      </w:r>
      <w:r w:rsidR="00111D3D">
        <w:rPr>
          <w:rFonts w:ascii="Times New Roman" w:hAnsi="Times New Roman" w:cs="Times New Roman"/>
          <w:sz w:val="20"/>
          <w:szCs w:val="20"/>
        </w:rPr>
        <w:instrText xml:space="preserve"> REF _Ref462840686 \r \h </w:instrText>
      </w:r>
      <w:r w:rsidR="00111D3D">
        <w:rPr>
          <w:rFonts w:ascii="Times New Roman" w:hAnsi="Times New Roman" w:cs="Times New Roman"/>
          <w:sz w:val="20"/>
          <w:szCs w:val="20"/>
        </w:rPr>
      </w:r>
      <w:r w:rsidR="00111D3D">
        <w:rPr>
          <w:rFonts w:ascii="Times New Roman" w:hAnsi="Times New Roman" w:cs="Times New Roman"/>
          <w:sz w:val="20"/>
          <w:szCs w:val="20"/>
        </w:rPr>
        <w:fldChar w:fldCharType="separate"/>
      </w:r>
      <w:r w:rsidR="00FE249D">
        <w:rPr>
          <w:rFonts w:ascii="Times New Roman" w:hAnsi="Times New Roman" w:cs="Times New Roman"/>
          <w:sz w:val="20"/>
          <w:szCs w:val="20"/>
        </w:rPr>
        <w:t>[5]</w:t>
      </w:r>
      <w:r w:rsidR="00111D3D">
        <w:rPr>
          <w:rFonts w:ascii="Times New Roman" w:hAnsi="Times New Roman" w:cs="Times New Roman"/>
          <w:sz w:val="20"/>
          <w:szCs w:val="20"/>
        </w:rPr>
        <w:fldChar w:fldCharType="end"/>
      </w:r>
      <w:r w:rsidR="00111D3D">
        <w:rPr>
          <w:rFonts w:ascii="Times New Roman" w:hAnsi="Times New Roman" w:cs="Times New Roman"/>
          <w:sz w:val="20"/>
          <w:szCs w:val="20"/>
        </w:rPr>
        <w:t xml:space="preserve">, </w:t>
      </w:r>
      <w:r>
        <w:rPr>
          <w:rFonts w:ascii="Times New Roman" w:hAnsi="Times New Roman" w:cs="Times New Roman"/>
          <w:sz w:val="20"/>
          <w:szCs w:val="20"/>
        </w:rPr>
        <w:t>f</w:t>
      </w:r>
      <w:r w:rsidRPr="005F6537">
        <w:rPr>
          <w:rFonts w:ascii="Times New Roman" w:hAnsi="Times New Roman" w:cs="Times New Roman"/>
          <w:sz w:val="20"/>
          <w:szCs w:val="20"/>
        </w:rPr>
        <w:t>or NL</w:t>
      </w:r>
      <w:r>
        <w:rPr>
          <w:rFonts w:ascii="Times New Roman" w:hAnsi="Times New Roman" w:cs="Times New Roman"/>
          <w:sz w:val="20"/>
          <w:szCs w:val="20"/>
        </w:rPr>
        <w:t>O</w:t>
      </w:r>
      <w:r w:rsidRPr="005F6537">
        <w:rPr>
          <w:rFonts w:ascii="Times New Roman" w:hAnsi="Times New Roman" w:cs="Times New Roman"/>
          <w:sz w:val="20"/>
          <w:szCs w:val="20"/>
        </w:rPr>
        <w:t>S and especially for Manhattan</w:t>
      </w:r>
      <w:r>
        <w:rPr>
          <w:rFonts w:ascii="Times New Roman" w:hAnsi="Times New Roman" w:cs="Times New Roman"/>
          <w:sz w:val="20"/>
          <w:szCs w:val="20"/>
        </w:rPr>
        <w:t>-like scenario,</w:t>
      </w:r>
      <w:r w:rsidRPr="005F6537">
        <w:rPr>
          <w:rFonts w:ascii="Times New Roman" w:hAnsi="Times New Roman" w:cs="Times New Roman"/>
          <w:sz w:val="20"/>
          <w:szCs w:val="20"/>
        </w:rPr>
        <w:t xml:space="preserve"> the distribution of the cluster/ray AoA/AoD seems to be defined as a randomization centered around the L</w:t>
      </w:r>
      <w:r>
        <w:rPr>
          <w:rFonts w:ascii="Times New Roman" w:hAnsi="Times New Roman" w:cs="Times New Roman"/>
          <w:sz w:val="20"/>
          <w:szCs w:val="20"/>
        </w:rPr>
        <w:t>O</w:t>
      </w:r>
      <w:r w:rsidRPr="005F6537">
        <w:rPr>
          <w:rFonts w:ascii="Times New Roman" w:hAnsi="Times New Roman" w:cs="Times New Roman"/>
          <w:sz w:val="20"/>
          <w:szCs w:val="20"/>
        </w:rPr>
        <w:t>S direction (see Eq.</w:t>
      </w:r>
      <w:r w:rsidR="00111D3D">
        <w:rPr>
          <w:rFonts w:ascii="Times New Roman" w:hAnsi="Times New Roman" w:cs="Times New Roman"/>
          <w:sz w:val="20"/>
          <w:szCs w:val="20"/>
        </w:rPr>
        <w:t xml:space="preserve"> (</w:t>
      </w:r>
      <w:r w:rsidRPr="005F6537">
        <w:rPr>
          <w:rFonts w:ascii="Times New Roman" w:hAnsi="Times New Roman" w:cs="Times New Roman"/>
          <w:sz w:val="20"/>
          <w:szCs w:val="20"/>
        </w:rPr>
        <w:t>17</w:t>
      </w:r>
      <w:r w:rsidR="00111D3D">
        <w:rPr>
          <w:rFonts w:ascii="Times New Roman" w:hAnsi="Times New Roman" w:cs="Times New Roman"/>
          <w:sz w:val="20"/>
          <w:szCs w:val="20"/>
        </w:rPr>
        <w:t>)</w:t>
      </w:r>
      <w:r w:rsidRPr="005F6537">
        <w:rPr>
          <w:rFonts w:ascii="Times New Roman" w:hAnsi="Times New Roman" w:cs="Times New Roman"/>
          <w:sz w:val="20"/>
          <w:szCs w:val="20"/>
        </w:rPr>
        <w:t xml:space="preserve"> in Annex 1</w:t>
      </w:r>
      <w:r>
        <w:rPr>
          <w:rFonts w:ascii="Times New Roman" w:hAnsi="Times New Roman" w:cs="Times New Roman"/>
          <w:sz w:val="20"/>
          <w:szCs w:val="20"/>
        </w:rPr>
        <w:t xml:space="preserve"> of</w:t>
      </w:r>
      <w:r w:rsidR="008F4AD4">
        <w:rPr>
          <w:rFonts w:ascii="Times New Roman" w:hAnsi="Times New Roman" w:cs="Times New Roman"/>
          <w:sz w:val="20"/>
          <w:szCs w:val="20"/>
        </w:rPr>
        <w:t xml:space="preserve"> </w:t>
      </w:r>
      <w:r w:rsidR="008F4AD4">
        <w:rPr>
          <w:rFonts w:ascii="Times New Roman" w:hAnsi="Times New Roman" w:cs="Times New Roman"/>
          <w:sz w:val="20"/>
          <w:szCs w:val="20"/>
        </w:rPr>
        <w:fldChar w:fldCharType="begin"/>
      </w:r>
      <w:r w:rsidR="008F4AD4">
        <w:rPr>
          <w:rFonts w:ascii="Times New Roman" w:hAnsi="Times New Roman" w:cs="Times New Roman"/>
          <w:sz w:val="20"/>
          <w:szCs w:val="20"/>
        </w:rPr>
        <w:instrText xml:space="preserve"> REF _Ref462777710 \r \h </w:instrText>
      </w:r>
      <w:r w:rsidR="008F4AD4">
        <w:rPr>
          <w:rFonts w:ascii="Times New Roman" w:hAnsi="Times New Roman" w:cs="Times New Roman"/>
          <w:sz w:val="20"/>
          <w:szCs w:val="20"/>
        </w:rPr>
      </w:r>
      <w:r w:rsidR="008F4AD4">
        <w:rPr>
          <w:rFonts w:ascii="Times New Roman" w:hAnsi="Times New Roman" w:cs="Times New Roman"/>
          <w:sz w:val="20"/>
          <w:szCs w:val="20"/>
        </w:rPr>
        <w:fldChar w:fldCharType="separate"/>
      </w:r>
      <w:r w:rsidR="00FE249D">
        <w:rPr>
          <w:rFonts w:ascii="Times New Roman" w:hAnsi="Times New Roman" w:cs="Times New Roman"/>
          <w:sz w:val="20"/>
          <w:szCs w:val="20"/>
        </w:rPr>
        <w:t>[5]</w:t>
      </w:r>
      <w:r w:rsidR="008F4AD4">
        <w:rPr>
          <w:rFonts w:ascii="Times New Roman" w:hAnsi="Times New Roman" w:cs="Times New Roman"/>
          <w:sz w:val="20"/>
          <w:szCs w:val="20"/>
        </w:rPr>
        <w:fldChar w:fldCharType="end"/>
      </w:r>
      <w:r w:rsidR="00401503">
        <w:rPr>
          <w:rFonts w:ascii="Times New Roman" w:hAnsi="Times New Roman" w:cs="Times New Roman"/>
          <w:sz w:val="20"/>
          <w:szCs w:val="20"/>
        </w:rPr>
        <w:t>). However, t</w:t>
      </w:r>
      <w:r>
        <w:rPr>
          <w:rFonts w:ascii="Times New Roman" w:hAnsi="Times New Roman" w:cs="Times New Roman"/>
          <w:sz w:val="20"/>
          <w:szCs w:val="20"/>
        </w:rPr>
        <w:t xml:space="preserve">his may not </w:t>
      </w:r>
      <w:r w:rsidR="00401503">
        <w:rPr>
          <w:rFonts w:ascii="Times New Roman" w:hAnsi="Times New Roman" w:cs="Times New Roman"/>
          <w:sz w:val="20"/>
          <w:szCs w:val="20"/>
        </w:rPr>
        <w:t>be applicable</w:t>
      </w:r>
      <w:r>
        <w:rPr>
          <w:rFonts w:ascii="Times New Roman" w:hAnsi="Times New Roman" w:cs="Times New Roman"/>
          <w:sz w:val="20"/>
          <w:szCs w:val="20"/>
        </w:rPr>
        <w:t xml:space="preserve"> to the case where the transmitter and receiver are well around the </w:t>
      </w:r>
      <w:r w:rsidR="00F61E81">
        <w:rPr>
          <w:rFonts w:ascii="Times New Roman" w:hAnsi="Times New Roman" w:cs="Times New Roman"/>
          <w:sz w:val="20"/>
          <w:szCs w:val="20"/>
        </w:rPr>
        <w:t>street corner</w:t>
      </w:r>
      <w:r>
        <w:rPr>
          <w:rFonts w:ascii="Times New Roman" w:hAnsi="Times New Roman" w:cs="Times New Roman"/>
          <w:sz w:val="20"/>
          <w:szCs w:val="20"/>
        </w:rPr>
        <w:t xml:space="preserve">. </w:t>
      </w:r>
    </w:p>
    <w:p w14:paraId="6A91CF17" w14:textId="29DB7AE8" w:rsidR="00401503" w:rsidRPr="00401503" w:rsidRDefault="00C13D44" w:rsidP="00707846">
      <w:pPr>
        <w:spacing w:before="240"/>
        <w:jc w:val="both"/>
      </w:pPr>
      <w:r>
        <w:rPr>
          <w:lang w:val="en-US"/>
        </w:rPr>
        <w:t>As a result, t</w:t>
      </w:r>
      <w:r w:rsidR="00401503">
        <w:rPr>
          <w:lang w:val="en-US"/>
        </w:rPr>
        <w:t xml:space="preserve">o address 1) and 2) </w:t>
      </w:r>
      <w:r w:rsidR="00401503">
        <w:t xml:space="preserve">a model for blocking is necessary. The model should include self-blocking of the vehicle, which </w:t>
      </w:r>
      <w:r w:rsidR="00F61E81">
        <w:t xml:space="preserve">is </w:t>
      </w:r>
      <w:r w:rsidR="00401503">
        <w:t xml:space="preserve">typically applicable to 2) depending on the positions of transmitting and receiving antenna arrays. </w:t>
      </w:r>
      <w:r w:rsidR="00B26FEF">
        <w:t xml:space="preserve">3) can be addressed by adding LOS and a more accurate model of AoA distribution to the fast fading modelling. </w:t>
      </w:r>
      <w:r w:rsidR="00401503">
        <w:t xml:space="preserve">As for </w:t>
      </w:r>
      <w:r w:rsidR="00B26FEF">
        <w:t>4</w:t>
      </w:r>
      <w:r w:rsidR="00401503">
        <w:t>)</w:t>
      </w:r>
      <w:r w:rsidR="00B26FEF">
        <w:t>,</w:t>
      </w:r>
      <w:r w:rsidR="00401503">
        <w:t xml:space="preserve"> we believe that it is more accurate to center the spread of AoA/D angles around the main direction of the street</w:t>
      </w:r>
      <w:r w:rsidR="00F61E81">
        <w:t>.</w:t>
      </w:r>
      <w:r w:rsidR="00401503">
        <w:t xml:space="preserve"> </w:t>
      </w:r>
    </w:p>
    <w:p w14:paraId="1D6D751B" w14:textId="080DB038" w:rsidR="00030630" w:rsidRDefault="00030630" w:rsidP="005D5CF3">
      <w:pPr>
        <w:pStyle w:val="BodyText"/>
        <w:spacing w:after="240"/>
        <w:jc w:val="both"/>
        <w:rPr>
          <w:b/>
          <w:i/>
          <w:sz w:val="20"/>
          <w:szCs w:val="20"/>
        </w:rPr>
      </w:pPr>
      <w:r>
        <w:rPr>
          <w:b/>
          <w:i/>
          <w:sz w:val="20"/>
          <w:szCs w:val="20"/>
        </w:rPr>
        <w:t>Observation</w:t>
      </w:r>
      <w:r w:rsidR="008979CE">
        <w:rPr>
          <w:b/>
          <w:i/>
          <w:sz w:val="20"/>
          <w:szCs w:val="20"/>
        </w:rPr>
        <w:t xml:space="preserve"> 1</w:t>
      </w:r>
      <w:r>
        <w:rPr>
          <w:b/>
          <w:i/>
          <w:sz w:val="20"/>
          <w:szCs w:val="20"/>
        </w:rPr>
        <w:t>:</w:t>
      </w:r>
    </w:p>
    <w:p w14:paraId="47F1FE5C" w14:textId="09DF9956" w:rsidR="00030630" w:rsidRDefault="00B26FEF" w:rsidP="00707846">
      <w:pPr>
        <w:pStyle w:val="BodyText"/>
        <w:numPr>
          <w:ilvl w:val="0"/>
          <w:numId w:val="17"/>
        </w:numPr>
        <w:spacing w:after="240"/>
        <w:jc w:val="both"/>
        <w:rPr>
          <w:b/>
          <w:i/>
          <w:sz w:val="20"/>
          <w:szCs w:val="20"/>
        </w:rPr>
      </w:pPr>
      <w:r>
        <w:rPr>
          <w:b/>
          <w:i/>
          <w:sz w:val="20"/>
          <w:szCs w:val="20"/>
        </w:rPr>
        <w:t>The c</w:t>
      </w:r>
      <w:r w:rsidR="00030630">
        <w:rPr>
          <w:b/>
          <w:i/>
          <w:sz w:val="20"/>
          <w:szCs w:val="20"/>
        </w:rPr>
        <w:t xml:space="preserve">urrent channel model for </w:t>
      </w:r>
      <w:r>
        <w:rPr>
          <w:b/>
          <w:i/>
          <w:sz w:val="20"/>
          <w:szCs w:val="20"/>
        </w:rPr>
        <w:t xml:space="preserve">eV2V </w:t>
      </w:r>
      <w:r w:rsidR="00030630">
        <w:rPr>
          <w:b/>
          <w:i/>
          <w:sz w:val="20"/>
          <w:szCs w:val="20"/>
        </w:rPr>
        <w:t xml:space="preserve">evaluation </w:t>
      </w:r>
      <w:r w:rsidR="00410087">
        <w:rPr>
          <w:b/>
          <w:i/>
          <w:sz w:val="20"/>
          <w:szCs w:val="20"/>
        </w:rPr>
        <w:t>has</w:t>
      </w:r>
      <w:r>
        <w:rPr>
          <w:b/>
          <w:i/>
          <w:sz w:val="20"/>
          <w:szCs w:val="20"/>
        </w:rPr>
        <w:t xml:space="preserve"> certain issues that may affect </w:t>
      </w:r>
      <w:r w:rsidR="00410087">
        <w:rPr>
          <w:b/>
          <w:i/>
          <w:sz w:val="20"/>
          <w:szCs w:val="20"/>
        </w:rPr>
        <w:t>its</w:t>
      </w:r>
      <w:r>
        <w:rPr>
          <w:b/>
          <w:i/>
          <w:sz w:val="20"/>
          <w:szCs w:val="20"/>
        </w:rPr>
        <w:t xml:space="preserve"> accuracy</w:t>
      </w:r>
      <w:r w:rsidR="00030630">
        <w:rPr>
          <w:b/>
          <w:i/>
          <w:sz w:val="20"/>
          <w:szCs w:val="20"/>
        </w:rPr>
        <w:t>:</w:t>
      </w:r>
    </w:p>
    <w:p w14:paraId="6A25128C" w14:textId="3E583FB1" w:rsidR="00030630" w:rsidRDefault="00030630" w:rsidP="00707846">
      <w:pPr>
        <w:pStyle w:val="BodyText"/>
        <w:numPr>
          <w:ilvl w:val="1"/>
          <w:numId w:val="17"/>
        </w:numPr>
        <w:spacing w:after="240"/>
        <w:jc w:val="both"/>
        <w:rPr>
          <w:b/>
          <w:i/>
          <w:sz w:val="20"/>
          <w:szCs w:val="20"/>
        </w:rPr>
      </w:pPr>
      <w:r>
        <w:rPr>
          <w:b/>
          <w:i/>
          <w:sz w:val="20"/>
          <w:szCs w:val="20"/>
        </w:rPr>
        <w:t>Blocking due to moving objects like vehicles, including self-blocking</w:t>
      </w:r>
      <w:r w:rsidR="00B26FEF">
        <w:rPr>
          <w:b/>
          <w:i/>
          <w:sz w:val="20"/>
          <w:szCs w:val="20"/>
        </w:rPr>
        <w:t xml:space="preserve">, </w:t>
      </w:r>
      <w:r w:rsidR="00A07663">
        <w:rPr>
          <w:b/>
          <w:i/>
          <w:sz w:val="20"/>
          <w:szCs w:val="20"/>
        </w:rPr>
        <w:t>has not been</w:t>
      </w:r>
      <w:r w:rsidR="00B26FEF">
        <w:rPr>
          <w:b/>
          <w:i/>
          <w:sz w:val="20"/>
          <w:szCs w:val="20"/>
        </w:rPr>
        <w:t xml:space="preserve"> captured</w:t>
      </w:r>
      <w:r>
        <w:rPr>
          <w:b/>
          <w:i/>
          <w:sz w:val="20"/>
          <w:szCs w:val="20"/>
        </w:rPr>
        <w:t>.</w:t>
      </w:r>
    </w:p>
    <w:p w14:paraId="17B686E6" w14:textId="6CC29E5C" w:rsidR="00B26FEF" w:rsidRDefault="00B26FEF" w:rsidP="00707846">
      <w:pPr>
        <w:pStyle w:val="BodyText"/>
        <w:numPr>
          <w:ilvl w:val="1"/>
          <w:numId w:val="17"/>
        </w:numPr>
        <w:spacing w:after="240"/>
        <w:jc w:val="both"/>
        <w:rPr>
          <w:b/>
          <w:i/>
          <w:sz w:val="20"/>
          <w:szCs w:val="20"/>
        </w:rPr>
      </w:pPr>
      <w:r>
        <w:rPr>
          <w:b/>
          <w:i/>
          <w:sz w:val="20"/>
          <w:szCs w:val="20"/>
        </w:rPr>
        <w:t xml:space="preserve">LOS </w:t>
      </w:r>
      <w:r w:rsidR="00A07663">
        <w:rPr>
          <w:b/>
          <w:i/>
          <w:sz w:val="20"/>
          <w:szCs w:val="20"/>
        </w:rPr>
        <w:t>has not been</w:t>
      </w:r>
      <w:r>
        <w:rPr>
          <w:b/>
          <w:i/>
          <w:sz w:val="20"/>
          <w:szCs w:val="20"/>
        </w:rPr>
        <w:t xml:space="preserve"> captured in fast fading modelling, and a uniform spread of AoA is not a</w:t>
      </w:r>
      <w:r w:rsidR="00410087">
        <w:rPr>
          <w:b/>
          <w:i/>
          <w:sz w:val="20"/>
          <w:szCs w:val="20"/>
        </w:rPr>
        <w:t xml:space="preserve"> </w:t>
      </w:r>
      <w:r w:rsidR="00A07663">
        <w:rPr>
          <w:b/>
          <w:i/>
          <w:sz w:val="20"/>
          <w:szCs w:val="20"/>
        </w:rPr>
        <w:t>plausible</w:t>
      </w:r>
      <w:r w:rsidR="00410087">
        <w:rPr>
          <w:b/>
          <w:i/>
          <w:sz w:val="20"/>
          <w:szCs w:val="20"/>
        </w:rPr>
        <w:t xml:space="preserve"> assumption.</w:t>
      </w:r>
    </w:p>
    <w:p w14:paraId="7327FD31" w14:textId="01421122" w:rsidR="00030630" w:rsidRDefault="00030630" w:rsidP="00707846">
      <w:pPr>
        <w:pStyle w:val="BodyText"/>
        <w:numPr>
          <w:ilvl w:val="1"/>
          <w:numId w:val="17"/>
        </w:numPr>
        <w:spacing w:after="240"/>
        <w:jc w:val="both"/>
        <w:rPr>
          <w:b/>
          <w:i/>
          <w:sz w:val="20"/>
          <w:szCs w:val="20"/>
        </w:rPr>
      </w:pPr>
      <w:r>
        <w:rPr>
          <w:b/>
          <w:i/>
          <w:sz w:val="20"/>
          <w:szCs w:val="20"/>
        </w:rPr>
        <w:t>The procedure for calculating small scale parameters for NLOS does not accurately capture the scenario where the transmitter and the receiver are around the street corner.</w:t>
      </w:r>
    </w:p>
    <w:p w14:paraId="3F0A342F" w14:textId="2E3B35A5" w:rsidR="005D5CF3" w:rsidRPr="00407F2A" w:rsidRDefault="00F61E81" w:rsidP="005D5CF3">
      <w:pPr>
        <w:pStyle w:val="BodyText"/>
        <w:spacing w:after="240"/>
        <w:jc w:val="both"/>
        <w:rPr>
          <w:b/>
          <w:i/>
          <w:sz w:val="20"/>
          <w:szCs w:val="20"/>
        </w:rPr>
      </w:pPr>
      <w:r>
        <w:rPr>
          <w:b/>
          <w:i/>
          <w:sz w:val="20"/>
          <w:szCs w:val="20"/>
        </w:rPr>
        <w:t>Proposal</w:t>
      </w:r>
      <w:r w:rsidR="00275591">
        <w:rPr>
          <w:b/>
          <w:i/>
          <w:sz w:val="20"/>
          <w:szCs w:val="20"/>
        </w:rPr>
        <w:t xml:space="preserve"> 1</w:t>
      </w:r>
      <w:r w:rsidR="005D5CF3" w:rsidRPr="00407F2A">
        <w:rPr>
          <w:b/>
          <w:i/>
          <w:sz w:val="20"/>
          <w:szCs w:val="20"/>
        </w:rPr>
        <w:t>:</w:t>
      </w:r>
    </w:p>
    <w:p w14:paraId="0580B3F0" w14:textId="754EBCDC" w:rsidR="005D5CF3" w:rsidRDefault="00030630" w:rsidP="005D5CF3">
      <w:pPr>
        <w:pStyle w:val="BodyText"/>
        <w:numPr>
          <w:ilvl w:val="0"/>
          <w:numId w:val="17"/>
        </w:numPr>
        <w:spacing w:after="240"/>
        <w:jc w:val="both"/>
        <w:rPr>
          <w:b/>
          <w:i/>
          <w:sz w:val="20"/>
          <w:szCs w:val="20"/>
        </w:rPr>
      </w:pPr>
      <w:r>
        <w:rPr>
          <w:b/>
          <w:i/>
          <w:sz w:val="20"/>
          <w:szCs w:val="20"/>
        </w:rPr>
        <w:t>Update channel models for eV2</w:t>
      </w:r>
      <w:r w:rsidR="00593DDA">
        <w:rPr>
          <w:b/>
          <w:i/>
          <w:sz w:val="20"/>
          <w:szCs w:val="20"/>
        </w:rPr>
        <w:t>X</w:t>
      </w:r>
      <w:r>
        <w:rPr>
          <w:b/>
          <w:i/>
          <w:sz w:val="20"/>
          <w:szCs w:val="20"/>
        </w:rPr>
        <w:t xml:space="preserve"> evaluation with blockage effect due to moving objects, including self-blocking.</w:t>
      </w:r>
    </w:p>
    <w:p w14:paraId="68B028C6" w14:textId="5C6E6249" w:rsidR="00A07663" w:rsidRDefault="00A07663" w:rsidP="005D5CF3">
      <w:pPr>
        <w:pStyle w:val="BodyText"/>
        <w:numPr>
          <w:ilvl w:val="0"/>
          <w:numId w:val="17"/>
        </w:numPr>
        <w:spacing w:after="240"/>
        <w:jc w:val="both"/>
        <w:rPr>
          <w:b/>
          <w:i/>
          <w:sz w:val="20"/>
          <w:szCs w:val="20"/>
        </w:rPr>
      </w:pPr>
      <w:r>
        <w:rPr>
          <w:b/>
          <w:i/>
          <w:sz w:val="20"/>
          <w:szCs w:val="20"/>
        </w:rPr>
        <w:t>Update the fast fading modelling with LOS and a more accurate AoA spread assumption</w:t>
      </w:r>
    </w:p>
    <w:p w14:paraId="11BD7E96" w14:textId="0B2708BE" w:rsidR="00A07663" w:rsidRDefault="00A07663" w:rsidP="00707846">
      <w:pPr>
        <w:pStyle w:val="BodyText"/>
        <w:numPr>
          <w:ilvl w:val="1"/>
          <w:numId w:val="17"/>
        </w:numPr>
        <w:spacing w:after="240"/>
        <w:jc w:val="both"/>
        <w:rPr>
          <w:b/>
          <w:i/>
          <w:sz w:val="20"/>
          <w:szCs w:val="20"/>
        </w:rPr>
      </w:pPr>
      <w:r>
        <w:rPr>
          <w:b/>
          <w:i/>
          <w:sz w:val="20"/>
          <w:szCs w:val="20"/>
        </w:rPr>
        <w:t>FFS the details.</w:t>
      </w:r>
    </w:p>
    <w:p w14:paraId="3A828CBF" w14:textId="77777777" w:rsidR="00111D3D" w:rsidRDefault="00111D3D" w:rsidP="00111D3D">
      <w:pPr>
        <w:pStyle w:val="BodyText"/>
        <w:numPr>
          <w:ilvl w:val="0"/>
          <w:numId w:val="17"/>
        </w:numPr>
        <w:spacing w:after="240"/>
        <w:jc w:val="both"/>
        <w:rPr>
          <w:b/>
          <w:i/>
          <w:sz w:val="20"/>
          <w:szCs w:val="20"/>
        </w:rPr>
      </w:pPr>
      <w:r>
        <w:rPr>
          <w:b/>
          <w:i/>
          <w:sz w:val="20"/>
          <w:szCs w:val="20"/>
        </w:rPr>
        <w:t>Update the procedure for calculating small scale parameters, at least for V2V NLOS, as follows:</w:t>
      </w:r>
    </w:p>
    <w:p w14:paraId="3B388F58" w14:textId="50D6B42C" w:rsidR="00030630" w:rsidRDefault="00111D3D" w:rsidP="00030630">
      <w:pPr>
        <w:pStyle w:val="BodyText"/>
        <w:numPr>
          <w:ilvl w:val="1"/>
          <w:numId w:val="17"/>
        </w:numPr>
        <w:spacing w:after="240"/>
        <w:jc w:val="both"/>
        <w:rPr>
          <w:b/>
          <w:i/>
          <w:sz w:val="20"/>
          <w:szCs w:val="20"/>
        </w:rPr>
      </w:pPr>
      <w:r w:rsidRPr="00030630">
        <w:rPr>
          <w:b/>
          <w:i/>
          <w:sz w:val="20"/>
          <w:szCs w:val="20"/>
        </w:rPr>
        <w:t>Align mean AoD/AoA</w:t>
      </w:r>
      <w:r>
        <w:rPr>
          <w:b/>
          <w:i/>
          <w:sz w:val="20"/>
          <w:szCs w:val="20"/>
        </w:rPr>
        <w:t xml:space="preserve">, namely aligning </w:t>
      </w:r>
      <m:oMath>
        <m:sSub>
          <m:sSubPr>
            <m:ctrlPr>
              <w:rPr>
                <w:rFonts w:ascii="Cambria Math" w:hAnsi="Cambria Math"/>
                <w:b/>
                <w:i/>
                <w:sz w:val="20"/>
                <w:szCs w:val="20"/>
              </w:rPr>
            </m:ctrlPr>
          </m:sSubPr>
          <m:e>
            <m:r>
              <m:rPr>
                <m:sty m:val="bi"/>
              </m:rPr>
              <w:rPr>
                <w:rFonts w:ascii="Cambria Math" w:hAnsi="Cambria Math"/>
                <w:sz w:val="20"/>
                <w:szCs w:val="20"/>
              </w:rPr>
              <m:t>φ</m:t>
            </m:r>
          </m:e>
          <m:sub>
            <m:r>
              <m:rPr>
                <m:sty m:val="bi"/>
              </m:rPr>
              <w:rPr>
                <w:rFonts w:ascii="Cambria Math" w:hAnsi="Cambria Math"/>
                <w:sz w:val="20"/>
                <w:szCs w:val="20"/>
              </w:rPr>
              <m:t>LOS</m:t>
            </m:r>
          </m:sub>
        </m:sSub>
      </m:oMath>
      <w:r>
        <w:rPr>
          <w:b/>
          <w:i/>
          <w:sz w:val="20"/>
          <w:szCs w:val="20"/>
        </w:rPr>
        <w:t xml:space="preserve"> in Eq. (17) in </w:t>
      </w:r>
      <w:r>
        <w:rPr>
          <w:b/>
          <w:i/>
        </w:rPr>
        <w:fldChar w:fldCharType="begin"/>
      </w:r>
      <w:r>
        <w:rPr>
          <w:b/>
          <w:i/>
          <w:sz w:val="20"/>
          <w:szCs w:val="20"/>
        </w:rPr>
        <w:instrText xml:space="preserve"> REF _Ref462777710 \r \h </w:instrText>
      </w:r>
      <w:r>
        <w:rPr>
          <w:b/>
          <w:i/>
        </w:rPr>
      </w:r>
      <w:r>
        <w:rPr>
          <w:b/>
          <w:i/>
        </w:rPr>
        <w:fldChar w:fldCharType="separate"/>
      </w:r>
      <w:r w:rsidR="00FE249D">
        <w:rPr>
          <w:b/>
          <w:i/>
          <w:sz w:val="20"/>
          <w:szCs w:val="20"/>
        </w:rPr>
        <w:t>[5]</w:t>
      </w:r>
      <w:r>
        <w:rPr>
          <w:b/>
          <w:i/>
        </w:rPr>
        <w:fldChar w:fldCharType="end"/>
      </w:r>
      <w:r>
        <w:rPr>
          <w:b/>
          <w:i/>
          <w:sz w:val="20"/>
          <w:szCs w:val="20"/>
        </w:rPr>
        <w:t xml:space="preserve">, </w:t>
      </w:r>
      <w:r w:rsidRPr="00030630">
        <w:rPr>
          <w:b/>
          <w:i/>
          <w:sz w:val="20"/>
          <w:szCs w:val="20"/>
        </w:rPr>
        <w:t>with the street direction</w:t>
      </w:r>
      <w:r>
        <w:rPr>
          <w:b/>
          <w:i/>
          <w:sz w:val="20"/>
          <w:szCs w:val="20"/>
        </w:rPr>
        <w:t>.</w:t>
      </w:r>
    </w:p>
    <w:p w14:paraId="0A4B990F" w14:textId="0DD53EF1" w:rsidR="00593DDA" w:rsidRPr="00593DDA" w:rsidRDefault="00593DDA" w:rsidP="00593DDA">
      <w:pPr>
        <w:pStyle w:val="Heading1"/>
      </w:pPr>
      <w:r w:rsidRPr="00593DDA">
        <w:t>Model for blockage</w:t>
      </w:r>
    </w:p>
    <w:p w14:paraId="3280840C" w14:textId="1C1397B3" w:rsidR="008D13E7" w:rsidRDefault="00C4031E" w:rsidP="005D5CF3">
      <w:pPr>
        <w:jc w:val="both"/>
        <w:rPr>
          <w:lang w:eastAsia="ko-KR"/>
        </w:rPr>
      </w:pPr>
      <w:r>
        <w:t xml:space="preserve">As observed in Section </w:t>
      </w:r>
      <w:r>
        <w:fldChar w:fldCharType="begin"/>
      </w:r>
      <w:r>
        <w:instrText xml:space="preserve"> REF _Ref462776158 \r \h </w:instrText>
      </w:r>
      <w:r>
        <w:fldChar w:fldCharType="separate"/>
      </w:r>
      <w:r w:rsidR="00FE249D">
        <w:t>2</w:t>
      </w:r>
      <w:r>
        <w:fldChar w:fldCharType="end"/>
      </w:r>
      <w:r>
        <w:t>, the blocking effect is significant at both low and high frequencies. Therefore, it is desirable to have a common and consistent model for blockage across different frequency ranges</w:t>
      </w:r>
      <w:r w:rsidR="00AE15E7">
        <w:t xml:space="preserve"> and in which the evolution of blockage over time can be modeled</w:t>
      </w:r>
      <w:r>
        <w:t xml:space="preserve">. </w:t>
      </w:r>
      <w:r w:rsidR="001741D9">
        <w:t>I</w:t>
      </w:r>
      <w:r>
        <w:t>n</w:t>
      </w:r>
      <w:r w:rsidR="008D13E7">
        <w:t xml:space="preserve"> </w:t>
      </w:r>
      <w:r w:rsidR="005D5CF3">
        <w:t xml:space="preserve">the </w:t>
      </w:r>
      <w:r w:rsidR="008D13E7">
        <w:t>TR</w:t>
      </w:r>
      <w:r>
        <w:t xml:space="preserve"> </w:t>
      </w:r>
      <w:r w:rsidR="008D13E7">
        <w:t>38.900</w:t>
      </w:r>
      <w:r w:rsidRPr="00C4031E">
        <w:t xml:space="preserve"> </w:t>
      </w:r>
      <w:r>
        <w:fldChar w:fldCharType="begin"/>
      </w:r>
      <w:r>
        <w:instrText xml:space="preserve"> REF _Ref462776301 \r \h </w:instrText>
      </w:r>
      <w:r>
        <w:fldChar w:fldCharType="separate"/>
      </w:r>
      <w:r w:rsidR="00FE249D">
        <w:t>[6]</w:t>
      </w:r>
      <w:r>
        <w:fldChar w:fldCharType="end"/>
      </w:r>
      <w:r>
        <w:t>,</w:t>
      </w:r>
      <w:r w:rsidR="005D5CF3">
        <w:t xml:space="preserve"> which specifies channel model</w:t>
      </w:r>
      <w:r>
        <w:t>s</w:t>
      </w:r>
      <w:r w:rsidR="005D5CF3">
        <w:t xml:space="preserve"> for frequency spectrum above 6GHz,</w:t>
      </w:r>
      <w:r w:rsidR="008D13E7">
        <w:t xml:space="preserve"> b</w:t>
      </w:r>
      <w:r w:rsidR="008D13E7" w:rsidRPr="0082332A">
        <w:rPr>
          <w:rFonts w:hint="eastAsia"/>
          <w:lang w:eastAsia="ko-KR"/>
        </w:rPr>
        <w:t xml:space="preserve">lockage </w:t>
      </w:r>
      <w:r w:rsidR="008D13E7" w:rsidRPr="00AB4674">
        <w:rPr>
          <w:lang w:eastAsia="ko-KR"/>
        </w:rPr>
        <w:t>modelling</w:t>
      </w:r>
      <w:r w:rsidR="008D13E7" w:rsidRPr="00EF5569">
        <w:rPr>
          <w:rFonts w:hint="eastAsia"/>
          <w:lang w:eastAsia="ko-KR"/>
        </w:rPr>
        <w:t xml:space="preserve"> is </w:t>
      </w:r>
      <w:r w:rsidR="008D13E7">
        <w:rPr>
          <w:lang w:eastAsia="ko-KR"/>
        </w:rPr>
        <w:t xml:space="preserve">provided as </w:t>
      </w:r>
      <w:r w:rsidR="008D13E7" w:rsidRPr="00EF5569">
        <w:rPr>
          <w:rFonts w:hint="eastAsia"/>
          <w:lang w:eastAsia="ko-KR"/>
        </w:rPr>
        <w:t xml:space="preserve">an </w:t>
      </w:r>
      <w:r w:rsidR="008D13E7" w:rsidRPr="005D5CF3">
        <w:rPr>
          <w:rFonts w:hint="eastAsia"/>
          <w:i/>
          <w:lang w:eastAsia="ko-KR"/>
        </w:rPr>
        <w:t xml:space="preserve">add-on </w:t>
      </w:r>
      <w:r w:rsidR="008D13E7" w:rsidRPr="00EF5569">
        <w:rPr>
          <w:rFonts w:hint="eastAsia"/>
          <w:lang w:eastAsia="ko-KR"/>
        </w:rPr>
        <w:t>feature to the channel model</w:t>
      </w:r>
      <w:r>
        <w:rPr>
          <w:lang w:eastAsia="ko-KR"/>
        </w:rPr>
        <w:t xml:space="preserve"> (</w:t>
      </w:r>
      <w:r>
        <w:t>section 7.6.4)</w:t>
      </w:r>
      <w:r w:rsidR="008D13E7" w:rsidRPr="00EF5569">
        <w:rPr>
          <w:rFonts w:hint="eastAsia"/>
          <w:lang w:eastAsia="ko-KR"/>
        </w:rPr>
        <w:t>.</w:t>
      </w:r>
      <w:r w:rsidR="008D13E7">
        <w:rPr>
          <w:lang w:eastAsia="ko-KR"/>
        </w:rPr>
        <w:t xml:space="preserve"> </w:t>
      </w:r>
      <w:r w:rsidR="00FC77E9">
        <w:rPr>
          <w:lang w:eastAsia="ko-KR"/>
        </w:rPr>
        <w:t>We observe that the blockage model</w:t>
      </w:r>
      <w:r w:rsidR="00740F46">
        <w:rPr>
          <w:lang w:eastAsia="ko-KR"/>
        </w:rPr>
        <w:t xml:space="preserve"> (Model B)</w:t>
      </w:r>
      <w:r w:rsidR="00FC77E9">
        <w:rPr>
          <w:lang w:eastAsia="ko-KR"/>
        </w:rPr>
        <w:t xml:space="preserve"> from TR 38.900</w:t>
      </w:r>
      <w:r w:rsidR="00740F46">
        <w:rPr>
          <w:lang w:eastAsia="ko-KR"/>
        </w:rPr>
        <w:t xml:space="preserve"> (see Appendix A)</w:t>
      </w:r>
      <w:r w:rsidR="00FC77E9">
        <w:rPr>
          <w:lang w:eastAsia="ko-KR"/>
        </w:rPr>
        <w:t xml:space="preserve"> can be made applicable also for V2V modeling (and for V2I, V2P) with possibly some </w:t>
      </w:r>
      <w:r w:rsidR="00275591">
        <w:rPr>
          <w:lang w:eastAsia="ko-KR"/>
        </w:rPr>
        <w:t xml:space="preserve">modified parameters </w:t>
      </w:r>
      <w:r w:rsidR="00137203">
        <w:rPr>
          <w:lang w:eastAsia="ko-KR"/>
        </w:rPr>
        <w:t>to reflect V2X environment</w:t>
      </w:r>
      <w:r w:rsidR="00FC77E9">
        <w:rPr>
          <w:lang w:eastAsia="ko-KR"/>
        </w:rPr>
        <w:t>. Moreover, since t</w:t>
      </w:r>
      <w:r w:rsidR="008D13E7">
        <w:rPr>
          <w:lang w:eastAsia="ko-KR"/>
        </w:rPr>
        <w:t xml:space="preserve">he model </w:t>
      </w:r>
      <w:r w:rsidR="00FC77E9">
        <w:rPr>
          <w:lang w:eastAsia="ko-KR"/>
        </w:rPr>
        <w:t>is</w:t>
      </w:r>
      <w:r w:rsidR="008D13E7">
        <w:rPr>
          <w:lang w:eastAsia="ko-KR"/>
        </w:rPr>
        <w:t xml:space="preserve"> valid for frequencies 0.</w:t>
      </w:r>
      <w:r w:rsidR="00ED4474">
        <w:rPr>
          <w:lang w:eastAsia="ko-KR"/>
        </w:rPr>
        <w:t>5</w:t>
      </w:r>
      <w:r w:rsidR="008D13E7">
        <w:rPr>
          <w:lang w:eastAsia="ko-KR"/>
        </w:rPr>
        <w:t xml:space="preserve">-100 GHz, </w:t>
      </w:r>
      <w:r w:rsidR="00FC77E9">
        <w:rPr>
          <w:lang w:eastAsia="ko-KR"/>
        </w:rPr>
        <w:t>it suits our need for a common model for</w:t>
      </w:r>
      <w:r w:rsidR="008D13E7">
        <w:rPr>
          <w:lang w:eastAsia="ko-KR"/>
        </w:rPr>
        <w:t xml:space="preserve"> </w:t>
      </w:r>
      <w:r w:rsidR="00FC77E9">
        <w:rPr>
          <w:lang w:eastAsia="ko-KR"/>
        </w:rPr>
        <w:t>eV2X</w:t>
      </w:r>
      <w:r w:rsidR="008D13E7">
        <w:rPr>
          <w:lang w:eastAsia="ko-KR"/>
        </w:rPr>
        <w:t xml:space="preserve"> evaluations</w:t>
      </w:r>
      <w:r w:rsidR="00FC77E9">
        <w:rPr>
          <w:lang w:eastAsia="ko-KR"/>
        </w:rPr>
        <w:t xml:space="preserve"> in different frequency ranges</w:t>
      </w:r>
      <w:r w:rsidR="008D13E7">
        <w:rPr>
          <w:lang w:eastAsia="ko-KR"/>
        </w:rPr>
        <w:t>.</w:t>
      </w:r>
      <w:r w:rsidR="00740F46">
        <w:rPr>
          <w:lang w:eastAsia="ko-KR"/>
        </w:rPr>
        <w:t xml:space="preserve"> The added computational effort includes the identification of blocking vehicles. It is sufficient to include only a limited number of blockers (K) for the </w:t>
      </w:r>
      <w:r w:rsidR="000152F0">
        <w:rPr>
          <w:lang w:eastAsia="ko-KR"/>
        </w:rPr>
        <w:t>calculation, e.g., the two that is closest to the transmitting and receiving units. An additional option of blocker parameters may also be required for tall vehicles, e.g., trucks, buses, trams, etc. These considerations are FFS.</w:t>
      </w:r>
      <w:r w:rsidR="00BD7D3B">
        <w:rPr>
          <w:lang w:eastAsia="ko-KR"/>
        </w:rPr>
        <w:t xml:space="preserve"> Further background and validation of the model is described</w:t>
      </w:r>
      <w:r w:rsidR="002C7C67">
        <w:rPr>
          <w:lang w:eastAsia="ko-KR"/>
        </w:rPr>
        <w:t xml:space="preserve"> in</w:t>
      </w:r>
      <w:r w:rsidR="00BD7D3B">
        <w:rPr>
          <w:lang w:eastAsia="ko-KR"/>
        </w:rPr>
        <w:t xml:space="preserve"> R1-160845 </w:t>
      </w:r>
      <w:r w:rsidR="00BD7D3B">
        <w:rPr>
          <w:lang w:eastAsia="ko-KR"/>
        </w:rPr>
        <w:fldChar w:fldCharType="begin"/>
      </w:r>
      <w:r w:rsidR="00BD7D3B">
        <w:rPr>
          <w:lang w:eastAsia="ko-KR"/>
        </w:rPr>
        <w:instrText xml:space="preserve"> REF _Ref462843479 \r \h </w:instrText>
      </w:r>
      <w:r w:rsidR="00BD7D3B">
        <w:rPr>
          <w:lang w:eastAsia="ko-KR"/>
        </w:rPr>
      </w:r>
      <w:r w:rsidR="00BD7D3B">
        <w:rPr>
          <w:lang w:eastAsia="ko-KR"/>
        </w:rPr>
        <w:fldChar w:fldCharType="separate"/>
      </w:r>
      <w:r w:rsidR="00FE249D">
        <w:rPr>
          <w:lang w:eastAsia="ko-KR"/>
        </w:rPr>
        <w:t>[7]</w:t>
      </w:r>
      <w:r w:rsidR="00BD7D3B">
        <w:rPr>
          <w:lang w:eastAsia="ko-KR"/>
        </w:rPr>
        <w:fldChar w:fldCharType="end"/>
      </w:r>
      <w:r w:rsidR="00BD7D3B">
        <w:rPr>
          <w:lang w:eastAsia="ko-KR"/>
        </w:rPr>
        <w:t>.</w:t>
      </w:r>
      <w:r w:rsidR="002C7C67">
        <w:rPr>
          <w:lang w:eastAsia="ko-KR"/>
        </w:rPr>
        <w:t xml:space="preserve"> </w:t>
      </w:r>
    </w:p>
    <w:p w14:paraId="07568FDD" w14:textId="6B2F97CB" w:rsidR="008D13E7" w:rsidRPr="00707846" w:rsidRDefault="008D13E7" w:rsidP="00707846">
      <w:pPr>
        <w:pStyle w:val="BodyText"/>
        <w:spacing w:after="240"/>
        <w:jc w:val="both"/>
        <w:rPr>
          <w:b/>
          <w:i/>
        </w:rPr>
      </w:pPr>
      <w:r w:rsidRPr="00707846">
        <w:rPr>
          <w:b/>
          <w:i/>
          <w:sz w:val="20"/>
          <w:szCs w:val="20"/>
        </w:rPr>
        <w:t>Observation</w:t>
      </w:r>
      <w:r w:rsidR="008979CE">
        <w:rPr>
          <w:b/>
          <w:i/>
          <w:sz w:val="20"/>
          <w:szCs w:val="20"/>
        </w:rPr>
        <w:t xml:space="preserve"> 2</w:t>
      </w:r>
      <w:r w:rsidRPr="00707846">
        <w:rPr>
          <w:b/>
          <w:i/>
          <w:sz w:val="20"/>
          <w:szCs w:val="20"/>
        </w:rPr>
        <w:t>:</w:t>
      </w:r>
    </w:p>
    <w:p w14:paraId="76ED9061" w14:textId="37B66F73" w:rsidR="00FC77E9" w:rsidRPr="00FC77E9" w:rsidRDefault="00FC77E9" w:rsidP="00FC77E9">
      <w:pPr>
        <w:pStyle w:val="BodyText"/>
        <w:numPr>
          <w:ilvl w:val="0"/>
          <w:numId w:val="17"/>
        </w:numPr>
        <w:spacing w:after="240"/>
        <w:jc w:val="both"/>
        <w:rPr>
          <w:b/>
          <w:i/>
          <w:sz w:val="20"/>
          <w:szCs w:val="20"/>
        </w:rPr>
      </w:pPr>
      <w:r w:rsidRPr="00FC77E9">
        <w:rPr>
          <w:b/>
          <w:i/>
          <w:sz w:val="20"/>
          <w:szCs w:val="20"/>
        </w:rPr>
        <w:lastRenderedPageBreak/>
        <w:t>It is desirable to have a consistent model for V2V blockage across different frequency ranges</w:t>
      </w:r>
      <w:r w:rsidR="00AE15E7">
        <w:rPr>
          <w:b/>
          <w:i/>
          <w:sz w:val="20"/>
          <w:szCs w:val="20"/>
        </w:rPr>
        <w:t xml:space="preserve"> and which can accurately capture the time evolution of blocking</w:t>
      </w:r>
      <w:r>
        <w:rPr>
          <w:b/>
          <w:i/>
          <w:sz w:val="20"/>
          <w:szCs w:val="20"/>
        </w:rPr>
        <w:t>.</w:t>
      </w:r>
    </w:p>
    <w:p w14:paraId="797221F4" w14:textId="3F8BD7E7" w:rsidR="00740F46" w:rsidRPr="00740F46" w:rsidRDefault="00FC77E9" w:rsidP="00740F46">
      <w:pPr>
        <w:pStyle w:val="BodyText"/>
        <w:numPr>
          <w:ilvl w:val="0"/>
          <w:numId w:val="17"/>
        </w:numPr>
        <w:spacing w:after="240"/>
        <w:jc w:val="both"/>
        <w:rPr>
          <w:b/>
          <w:i/>
          <w:sz w:val="20"/>
          <w:szCs w:val="20"/>
        </w:rPr>
      </w:pPr>
      <w:r w:rsidRPr="00FC77E9">
        <w:rPr>
          <w:b/>
          <w:i/>
          <w:sz w:val="20"/>
          <w:szCs w:val="20"/>
        </w:rPr>
        <w:t>Blockage for cellular communication is modelled in TR 38.900 as an add-on feature, applicable for frequencies 0.</w:t>
      </w:r>
      <w:r w:rsidR="00ED4474">
        <w:rPr>
          <w:b/>
          <w:i/>
          <w:sz w:val="20"/>
          <w:szCs w:val="20"/>
        </w:rPr>
        <w:t>5</w:t>
      </w:r>
      <w:r w:rsidRPr="00FC77E9">
        <w:rPr>
          <w:b/>
          <w:i/>
          <w:sz w:val="20"/>
          <w:szCs w:val="20"/>
        </w:rPr>
        <w:t>-100 GHz</w:t>
      </w:r>
      <w:r w:rsidR="00137203">
        <w:rPr>
          <w:b/>
          <w:i/>
          <w:sz w:val="20"/>
          <w:szCs w:val="20"/>
        </w:rPr>
        <w:t>,</w:t>
      </w:r>
      <w:r w:rsidRPr="00FC77E9">
        <w:rPr>
          <w:b/>
          <w:i/>
          <w:sz w:val="20"/>
          <w:szCs w:val="20"/>
        </w:rPr>
        <w:t xml:space="preserve"> and the same principle can be applied to </w:t>
      </w:r>
      <w:r w:rsidR="00137203">
        <w:rPr>
          <w:b/>
          <w:i/>
          <w:sz w:val="20"/>
          <w:szCs w:val="20"/>
        </w:rPr>
        <w:t xml:space="preserve">channel for </w:t>
      </w:r>
      <w:r w:rsidRPr="00FC77E9">
        <w:rPr>
          <w:b/>
          <w:i/>
          <w:sz w:val="20"/>
          <w:szCs w:val="20"/>
        </w:rPr>
        <w:t>V2V</w:t>
      </w:r>
      <w:r w:rsidR="00D832F6">
        <w:rPr>
          <w:b/>
          <w:i/>
          <w:sz w:val="20"/>
          <w:szCs w:val="20"/>
        </w:rPr>
        <w:t xml:space="preserve"> with limited changes</w:t>
      </w:r>
      <w:r w:rsidRPr="00FC77E9">
        <w:rPr>
          <w:b/>
          <w:i/>
          <w:sz w:val="20"/>
          <w:szCs w:val="20"/>
        </w:rPr>
        <w:t>.</w:t>
      </w:r>
    </w:p>
    <w:p w14:paraId="0B3E9E6B" w14:textId="1A19B5B5" w:rsidR="008D13E7" w:rsidRPr="001A270D" w:rsidRDefault="008D13E7" w:rsidP="001A270D">
      <w:pPr>
        <w:pStyle w:val="BodyText"/>
        <w:spacing w:after="240"/>
        <w:jc w:val="both"/>
        <w:rPr>
          <w:b/>
          <w:i/>
          <w:sz w:val="20"/>
          <w:szCs w:val="20"/>
        </w:rPr>
      </w:pPr>
      <w:r w:rsidRPr="001A270D">
        <w:rPr>
          <w:b/>
          <w:i/>
          <w:sz w:val="20"/>
          <w:szCs w:val="20"/>
        </w:rPr>
        <w:t>Proposal</w:t>
      </w:r>
      <w:r w:rsidR="00275591">
        <w:rPr>
          <w:b/>
          <w:i/>
          <w:sz w:val="20"/>
          <w:szCs w:val="20"/>
        </w:rPr>
        <w:t xml:space="preserve"> 2</w:t>
      </w:r>
      <w:r w:rsidRPr="001A270D">
        <w:rPr>
          <w:b/>
          <w:i/>
          <w:sz w:val="20"/>
          <w:szCs w:val="20"/>
        </w:rPr>
        <w:t>:</w:t>
      </w:r>
    </w:p>
    <w:p w14:paraId="771C5EAB" w14:textId="7CEBC494" w:rsidR="00BE661F" w:rsidRPr="001A270D" w:rsidRDefault="00FC77E9" w:rsidP="00BE661F">
      <w:pPr>
        <w:pStyle w:val="BodyText"/>
        <w:numPr>
          <w:ilvl w:val="0"/>
          <w:numId w:val="17"/>
        </w:numPr>
        <w:spacing w:after="240"/>
        <w:jc w:val="both"/>
        <w:rPr>
          <w:b/>
          <w:i/>
          <w:sz w:val="20"/>
          <w:szCs w:val="20"/>
        </w:rPr>
      </w:pPr>
      <w:r>
        <w:rPr>
          <w:b/>
          <w:i/>
          <w:sz w:val="20"/>
          <w:szCs w:val="20"/>
        </w:rPr>
        <w:t>Modeling blockage for eV2V as an add-on feature to the current channel model</w:t>
      </w:r>
      <w:r w:rsidR="001A270D" w:rsidRPr="001A270D">
        <w:rPr>
          <w:b/>
          <w:i/>
          <w:sz w:val="20"/>
          <w:szCs w:val="20"/>
        </w:rPr>
        <w:t xml:space="preserve">. </w:t>
      </w:r>
    </w:p>
    <w:p w14:paraId="6DF697B3" w14:textId="77777777" w:rsidR="00D832F6" w:rsidRDefault="00D832F6" w:rsidP="00D832F6">
      <w:pPr>
        <w:pStyle w:val="BodyText"/>
        <w:numPr>
          <w:ilvl w:val="1"/>
          <w:numId w:val="17"/>
        </w:numPr>
        <w:spacing w:after="240"/>
        <w:jc w:val="both"/>
        <w:rPr>
          <w:b/>
          <w:i/>
          <w:sz w:val="20"/>
          <w:szCs w:val="20"/>
        </w:rPr>
      </w:pPr>
      <w:r>
        <w:rPr>
          <w:b/>
          <w:i/>
          <w:sz w:val="20"/>
          <w:szCs w:val="20"/>
        </w:rPr>
        <w:t>Using M</w:t>
      </w:r>
      <w:r w:rsidRPr="001A270D">
        <w:rPr>
          <w:b/>
          <w:i/>
          <w:sz w:val="20"/>
          <w:szCs w:val="20"/>
        </w:rPr>
        <w:t>odel</w:t>
      </w:r>
      <w:r>
        <w:rPr>
          <w:b/>
          <w:i/>
          <w:sz w:val="20"/>
          <w:szCs w:val="20"/>
        </w:rPr>
        <w:t xml:space="preserve"> B</w:t>
      </w:r>
      <w:r w:rsidRPr="001A270D">
        <w:rPr>
          <w:b/>
          <w:i/>
          <w:sz w:val="20"/>
          <w:szCs w:val="20"/>
        </w:rPr>
        <w:t xml:space="preserve"> </w:t>
      </w:r>
      <w:r>
        <w:rPr>
          <w:b/>
          <w:i/>
          <w:sz w:val="20"/>
          <w:szCs w:val="20"/>
        </w:rPr>
        <w:t>in TR 38.900 Section 7.6.4</w:t>
      </w:r>
      <w:r w:rsidRPr="001A270D">
        <w:rPr>
          <w:b/>
          <w:i/>
          <w:sz w:val="20"/>
          <w:szCs w:val="20"/>
        </w:rPr>
        <w:t xml:space="preserve"> </w:t>
      </w:r>
      <w:r>
        <w:rPr>
          <w:b/>
          <w:i/>
          <w:sz w:val="20"/>
          <w:szCs w:val="20"/>
        </w:rPr>
        <w:t>(see Appendix A) as baseline, with the following details FFS:</w:t>
      </w:r>
    </w:p>
    <w:p w14:paraId="282690DC" w14:textId="77777777" w:rsidR="00D832F6" w:rsidRDefault="00D832F6" w:rsidP="00D832F6">
      <w:pPr>
        <w:pStyle w:val="BodyText"/>
        <w:numPr>
          <w:ilvl w:val="2"/>
          <w:numId w:val="17"/>
        </w:numPr>
        <w:spacing w:after="240"/>
        <w:jc w:val="both"/>
        <w:rPr>
          <w:b/>
          <w:i/>
          <w:sz w:val="20"/>
          <w:szCs w:val="20"/>
        </w:rPr>
      </w:pPr>
      <w:r>
        <w:rPr>
          <w:b/>
          <w:i/>
          <w:sz w:val="20"/>
          <w:szCs w:val="20"/>
        </w:rPr>
        <w:t>How to determine the number of blockers</w:t>
      </w:r>
    </w:p>
    <w:p w14:paraId="6A9011E0" w14:textId="77777777" w:rsidR="00D832F6" w:rsidRDefault="00D832F6" w:rsidP="00D832F6">
      <w:pPr>
        <w:pStyle w:val="BodyText"/>
        <w:numPr>
          <w:ilvl w:val="2"/>
          <w:numId w:val="17"/>
        </w:numPr>
        <w:spacing w:after="240"/>
        <w:jc w:val="both"/>
        <w:rPr>
          <w:b/>
          <w:i/>
          <w:sz w:val="20"/>
          <w:szCs w:val="20"/>
        </w:rPr>
      </w:pPr>
      <w:r>
        <w:rPr>
          <w:b/>
          <w:i/>
          <w:sz w:val="20"/>
          <w:szCs w:val="20"/>
        </w:rPr>
        <w:t>Additional option of blocker parameters for tall vehicles</w:t>
      </w:r>
    </w:p>
    <w:p w14:paraId="0B677D41" w14:textId="2316D21A" w:rsidR="00BE661F" w:rsidRDefault="00D832F6" w:rsidP="00707846">
      <w:pPr>
        <w:pStyle w:val="BodyText"/>
        <w:numPr>
          <w:ilvl w:val="2"/>
          <w:numId w:val="17"/>
        </w:numPr>
        <w:spacing w:after="240"/>
        <w:jc w:val="both"/>
        <w:rPr>
          <w:b/>
          <w:i/>
          <w:sz w:val="20"/>
          <w:szCs w:val="20"/>
        </w:rPr>
      </w:pPr>
      <w:r>
        <w:rPr>
          <w:b/>
          <w:i/>
          <w:sz w:val="20"/>
          <w:szCs w:val="20"/>
        </w:rPr>
        <w:t xml:space="preserve">Other details (if </w:t>
      </w:r>
      <w:r w:rsidR="00DA7FFE">
        <w:rPr>
          <w:b/>
          <w:i/>
          <w:sz w:val="20"/>
          <w:szCs w:val="20"/>
        </w:rPr>
        <w:t>needed</w:t>
      </w:r>
      <w:r>
        <w:rPr>
          <w:b/>
          <w:i/>
          <w:sz w:val="20"/>
          <w:szCs w:val="20"/>
        </w:rPr>
        <w:t>).</w:t>
      </w:r>
    </w:p>
    <w:p w14:paraId="2DB70ECE" w14:textId="36BC968F" w:rsidR="00BE661F" w:rsidRDefault="00BE661F" w:rsidP="00FC77E9">
      <w:pPr>
        <w:pStyle w:val="BodyText"/>
        <w:numPr>
          <w:ilvl w:val="1"/>
          <w:numId w:val="17"/>
        </w:numPr>
        <w:spacing w:after="240"/>
        <w:jc w:val="both"/>
        <w:rPr>
          <w:b/>
          <w:i/>
          <w:sz w:val="20"/>
          <w:szCs w:val="20"/>
        </w:rPr>
      </w:pPr>
      <w:r>
        <w:rPr>
          <w:b/>
          <w:i/>
          <w:sz w:val="20"/>
          <w:szCs w:val="20"/>
        </w:rPr>
        <w:t xml:space="preserve">The model shall </w:t>
      </w:r>
      <w:r w:rsidRPr="001A270D">
        <w:rPr>
          <w:b/>
          <w:i/>
          <w:sz w:val="20"/>
          <w:szCs w:val="20"/>
        </w:rPr>
        <w:t>be valid for frequencies 0.</w:t>
      </w:r>
      <w:r w:rsidR="00ED4474">
        <w:rPr>
          <w:b/>
          <w:i/>
          <w:sz w:val="20"/>
          <w:szCs w:val="20"/>
        </w:rPr>
        <w:t>5</w:t>
      </w:r>
      <w:r w:rsidRPr="001A270D">
        <w:rPr>
          <w:b/>
          <w:i/>
          <w:sz w:val="20"/>
          <w:szCs w:val="20"/>
        </w:rPr>
        <w:t>-100 GHz.</w:t>
      </w:r>
    </w:p>
    <w:p w14:paraId="3C4455C8" w14:textId="2E3EAC53" w:rsidR="00706C19" w:rsidRPr="00744368" w:rsidRDefault="00706C19" w:rsidP="00706C19">
      <w:pPr>
        <w:pStyle w:val="Heading1"/>
      </w:pPr>
      <w:r w:rsidRPr="00744368">
        <w:t>Conclusion</w:t>
      </w:r>
      <w:r w:rsidR="00855E0E">
        <w:t>s</w:t>
      </w:r>
      <w:r w:rsidRPr="00744368">
        <w:t xml:space="preserve"> </w:t>
      </w:r>
    </w:p>
    <w:p w14:paraId="249BA244" w14:textId="675C99B3" w:rsidR="00706C19" w:rsidRDefault="00D832F6" w:rsidP="00706C19">
      <w:pPr>
        <w:pStyle w:val="BodyText"/>
        <w:spacing w:after="240"/>
        <w:jc w:val="both"/>
        <w:rPr>
          <w:spacing w:val="2"/>
          <w:sz w:val="20"/>
          <w:szCs w:val="20"/>
        </w:rPr>
      </w:pPr>
      <w:r w:rsidRPr="00407F2A">
        <w:rPr>
          <w:spacing w:val="2"/>
          <w:sz w:val="20"/>
          <w:szCs w:val="20"/>
        </w:rPr>
        <w:t xml:space="preserve">In this contribution we discuss </w:t>
      </w:r>
      <w:r>
        <w:rPr>
          <w:spacing w:val="2"/>
          <w:sz w:val="20"/>
          <w:szCs w:val="20"/>
        </w:rPr>
        <w:t xml:space="preserve">the necessity of updating the channel model for eV2X evaluation and present </w:t>
      </w:r>
      <w:r w:rsidR="00275591">
        <w:rPr>
          <w:spacing w:val="2"/>
          <w:sz w:val="20"/>
          <w:szCs w:val="20"/>
        </w:rPr>
        <w:t xml:space="preserve">the following </w:t>
      </w:r>
      <w:r>
        <w:rPr>
          <w:spacing w:val="2"/>
          <w:sz w:val="20"/>
          <w:szCs w:val="20"/>
        </w:rPr>
        <w:t>proposals.</w:t>
      </w:r>
    </w:p>
    <w:p w14:paraId="48E643CE" w14:textId="77777777" w:rsidR="00275591" w:rsidRPr="00407F2A" w:rsidRDefault="00275591" w:rsidP="00275591">
      <w:pPr>
        <w:pStyle w:val="BodyText"/>
        <w:spacing w:after="240"/>
        <w:jc w:val="both"/>
        <w:rPr>
          <w:b/>
          <w:i/>
          <w:sz w:val="20"/>
          <w:szCs w:val="20"/>
        </w:rPr>
      </w:pPr>
      <w:r>
        <w:rPr>
          <w:b/>
          <w:i/>
          <w:sz w:val="20"/>
          <w:szCs w:val="20"/>
        </w:rPr>
        <w:t>Proposal 1</w:t>
      </w:r>
      <w:r w:rsidRPr="00407F2A">
        <w:rPr>
          <w:b/>
          <w:i/>
          <w:sz w:val="20"/>
          <w:szCs w:val="20"/>
        </w:rPr>
        <w:t>:</w:t>
      </w:r>
    </w:p>
    <w:p w14:paraId="44C41346" w14:textId="77777777" w:rsidR="00275591" w:rsidRDefault="00275591" w:rsidP="00275591">
      <w:pPr>
        <w:pStyle w:val="BodyText"/>
        <w:numPr>
          <w:ilvl w:val="0"/>
          <w:numId w:val="17"/>
        </w:numPr>
        <w:spacing w:after="240"/>
        <w:jc w:val="both"/>
        <w:rPr>
          <w:b/>
          <w:i/>
          <w:sz w:val="20"/>
          <w:szCs w:val="20"/>
        </w:rPr>
      </w:pPr>
      <w:r>
        <w:rPr>
          <w:b/>
          <w:i/>
          <w:sz w:val="20"/>
          <w:szCs w:val="20"/>
        </w:rPr>
        <w:t>Update channel models for eV2X evaluation with blockage effect due to moving objects, including self-blocking.</w:t>
      </w:r>
    </w:p>
    <w:p w14:paraId="31242B50" w14:textId="77777777" w:rsidR="00275591" w:rsidRDefault="00275591" w:rsidP="00275591">
      <w:pPr>
        <w:pStyle w:val="BodyText"/>
        <w:numPr>
          <w:ilvl w:val="0"/>
          <w:numId w:val="17"/>
        </w:numPr>
        <w:spacing w:after="240"/>
        <w:jc w:val="both"/>
        <w:rPr>
          <w:b/>
          <w:i/>
          <w:sz w:val="20"/>
          <w:szCs w:val="20"/>
        </w:rPr>
      </w:pPr>
      <w:r>
        <w:rPr>
          <w:b/>
          <w:i/>
          <w:sz w:val="20"/>
          <w:szCs w:val="20"/>
        </w:rPr>
        <w:t>Update the fast fading modelling with LOS and a more accurate AoA spread assumption</w:t>
      </w:r>
    </w:p>
    <w:p w14:paraId="539E6F75" w14:textId="77777777" w:rsidR="00275591" w:rsidRDefault="00275591" w:rsidP="00275591">
      <w:pPr>
        <w:pStyle w:val="BodyText"/>
        <w:numPr>
          <w:ilvl w:val="1"/>
          <w:numId w:val="17"/>
        </w:numPr>
        <w:spacing w:after="240"/>
        <w:jc w:val="both"/>
        <w:rPr>
          <w:b/>
          <w:i/>
          <w:sz w:val="20"/>
          <w:szCs w:val="20"/>
        </w:rPr>
      </w:pPr>
      <w:r>
        <w:rPr>
          <w:b/>
          <w:i/>
          <w:sz w:val="20"/>
          <w:szCs w:val="20"/>
        </w:rPr>
        <w:t>FFS the details.</w:t>
      </w:r>
    </w:p>
    <w:p w14:paraId="0026BBB7" w14:textId="77777777" w:rsidR="00275591" w:rsidRDefault="00275591" w:rsidP="00275591">
      <w:pPr>
        <w:pStyle w:val="BodyText"/>
        <w:numPr>
          <w:ilvl w:val="0"/>
          <w:numId w:val="17"/>
        </w:numPr>
        <w:spacing w:after="240"/>
        <w:jc w:val="both"/>
        <w:rPr>
          <w:b/>
          <w:i/>
          <w:sz w:val="20"/>
          <w:szCs w:val="20"/>
        </w:rPr>
      </w:pPr>
      <w:r>
        <w:rPr>
          <w:b/>
          <w:i/>
          <w:sz w:val="20"/>
          <w:szCs w:val="20"/>
        </w:rPr>
        <w:t>Update the procedure for calculating small scale parameters, at least for V2V NLOS, as follows:</w:t>
      </w:r>
    </w:p>
    <w:p w14:paraId="68FC17A5" w14:textId="04BA5B52" w:rsidR="00275591" w:rsidRDefault="00275591" w:rsidP="00275591">
      <w:pPr>
        <w:pStyle w:val="BodyText"/>
        <w:numPr>
          <w:ilvl w:val="1"/>
          <w:numId w:val="17"/>
        </w:numPr>
        <w:spacing w:after="240"/>
        <w:jc w:val="both"/>
        <w:rPr>
          <w:b/>
          <w:i/>
          <w:sz w:val="20"/>
          <w:szCs w:val="20"/>
        </w:rPr>
      </w:pPr>
      <w:r w:rsidRPr="00030630">
        <w:rPr>
          <w:b/>
          <w:i/>
          <w:sz w:val="20"/>
          <w:szCs w:val="20"/>
        </w:rPr>
        <w:t>Align mean AoD/AoA</w:t>
      </w:r>
      <w:r>
        <w:rPr>
          <w:b/>
          <w:i/>
          <w:sz w:val="20"/>
          <w:szCs w:val="20"/>
        </w:rPr>
        <w:t xml:space="preserve">, namely aligning </w:t>
      </w:r>
      <m:oMath>
        <m:sSub>
          <m:sSubPr>
            <m:ctrlPr>
              <w:rPr>
                <w:rFonts w:ascii="Cambria Math" w:hAnsi="Cambria Math"/>
                <w:b/>
                <w:i/>
                <w:sz w:val="20"/>
                <w:szCs w:val="20"/>
              </w:rPr>
            </m:ctrlPr>
          </m:sSubPr>
          <m:e>
            <m:r>
              <m:rPr>
                <m:sty m:val="bi"/>
              </m:rPr>
              <w:rPr>
                <w:rFonts w:ascii="Cambria Math" w:hAnsi="Cambria Math"/>
                <w:sz w:val="20"/>
                <w:szCs w:val="20"/>
              </w:rPr>
              <m:t>φ</m:t>
            </m:r>
          </m:e>
          <m:sub>
            <m:r>
              <m:rPr>
                <m:sty m:val="bi"/>
              </m:rPr>
              <w:rPr>
                <w:rFonts w:ascii="Cambria Math" w:hAnsi="Cambria Math"/>
                <w:sz w:val="20"/>
                <w:szCs w:val="20"/>
              </w:rPr>
              <m:t>LOS</m:t>
            </m:r>
          </m:sub>
        </m:sSub>
      </m:oMath>
      <w:r>
        <w:rPr>
          <w:b/>
          <w:i/>
          <w:sz w:val="20"/>
          <w:szCs w:val="20"/>
        </w:rPr>
        <w:t xml:space="preserve"> in Eq. (17) in </w:t>
      </w:r>
      <w:r>
        <w:rPr>
          <w:b/>
          <w:i/>
        </w:rPr>
        <w:fldChar w:fldCharType="begin"/>
      </w:r>
      <w:r>
        <w:rPr>
          <w:b/>
          <w:i/>
          <w:sz w:val="20"/>
          <w:szCs w:val="20"/>
        </w:rPr>
        <w:instrText xml:space="preserve"> REF _Ref462777710 \r \h </w:instrText>
      </w:r>
      <w:r>
        <w:rPr>
          <w:b/>
          <w:i/>
        </w:rPr>
      </w:r>
      <w:r>
        <w:rPr>
          <w:b/>
          <w:i/>
        </w:rPr>
        <w:fldChar w:fldCharType="separate"/>
      </w:r>
      <w:r w:rsidR="00FE249D">
        <w:rPr>
          <w:b/>
          <w:i/>
          <w:sz w:val="20"/>
          <w:szCs w:val="20"/>
        </w:rPr>
        <w:t>[5]</w:t>
      </w:r>
      <w:r>
        <w:rPr>
          <w:b/>
          <w:i/>
        </w:rPr>
        <w:fldChar w:fldCharType="end"/>
      </w:r>
      <w:r>
        <w:rPr>
          <w:b/>
          <w:i/>
          <w:sz w:val="20"/>
          <w:szCs w:val="20"/>
        </w:rPr>
        <w:t xml:space="preserve">, </w:t>
      </w:r>
      <w:r w:rsidRPr="00030630">
        <w:rPr>
          <w:b/>
          <w:i/>
          <w:sz w:val="20"/>
          <w:szCs w:val="20"/>
        </w:rPr>
        <w:t>with the street direction</w:t>
      </w:r>
      <w:r>
        <w:rPr>
          <w:b/>
          <w:i/>
          <w:sz w:val="20"/>
          <w:szCs w:val="20"/>
        </w:rPr>
        <w:t>.</w:t>
      </w:r>
    </w:p>
    <w:p w14:paraId="211635B2" w14:textId="77777777" w:rsidR="00275591" w:rsidRPr="001A270D" w:rsidRDefault="00275591" w:rsidP="00275591">
      <w:pPr>
        <w:pStyle w:val="BodyText"/>
        <w:spacing w:after="240"/>
        <w:jc w:val="both"/>
        <w:rPr>
          <w:b/>
          <w:i/>
          <w:sz w:val="20"/>
          <w:szCs w:val="20"/>
        </w:rPr>
      </w:pPr>
      <w:r w:rsidRPr="001A270D">
        <w:rPr>
          <w:b/>
          <w:i/>
          <w:sz w:val="20"/>
          <w:szCs w:val="20"/>
        </w:rPr>
        <w:t>Proposal</w:t>
      </w:r>
      <w:r>
        <w:rPr>
          <w:b/>
          <w:i/>
          <w:sz w:val="20"/>
          <w:szCs w:val="20"/>
        </w:rPr>
        <w:t xml:space="preserve"> 2</w:t>
      </w:r>
      <w:r w:rsidRPr="001A270D">
        <w:rPr>
          <w:b/>
          <w:i/>
          <w:sz w:val="20"/>
          <w:szCs w:val="20"/>
        </w:rPr>
        <w:t>:</w:t>
      </w:r>
    </w:p>
    <w:p w14:paraId="6C16A389" w14:textId="77777777" w:rsidR="00275591" w:rsidRPr="001A270D" w:rsidRDefault="00275591" w:rsidP="00275591">
      <w:pPr>
        <w:pStyle w:val="BodyText"/>
        <w:numPr>
          <w:ilvl w:val="0"/>
          <w:numId w:val="17"/>
        </w:numPr>
        <w:spacing w:after="240"/>
        <w:jc w:val="both"/>
        <w:rPr>
          <w:b/>
          <w:i/>
          <w:sz w:val="20"/>
          <w:szCs w:val="20"/>
        </w:rPr>
      </w:pPr>
      <w:r>
        <w:rPr>
          <w:b/>
          <w:i/>
          <w:sz w:val="20"/>
          <w:szCs w:val="20"/>
        </w:rPr>
        <w:t>Modeling blockage for eV2V as an add-on feature to the current channel model</w:t>
      </w:r>
      <w:r w:rsidRPr="001A270D">
        <w:rPr>
          <w:b/>
          <w:i/>
          <w:sz w:val="20"/>
          <w:szCs w:val="20"/>
        </w:rPr>
        <w:t xml:space="preserve">. </w:t>
      </w:r>
    </w:p>
    <w:p w14:paraId="3B8CAF9D" w14:textId="77777777" w:rsidR="00275591" w:rsidRDefault="00275591" w:rsidP="00275591">
      <w:pPr>
        <w:pStyle w:val="BodyText"/>
        <w:numPr>
          <w:ilvl w:val="1"/>
          <w:numId w:val="17"/>
        </w:numPr>
        <w:spacing w:after="240"/>
        <w:jc w:val="both"/>
        <w:rPr>
          <w:b/>
          <w:i/>
          <w:sz w:val="20"/>
          <w:szCs w:val="20"/>
        </w:rPr>
      </w:pPr>
      <w:r>
        <w:rPr>
          <w:b/>
          <w:i/>
          <w:sz w:val="20"/>
          <w:szCs w:val="20"/>
        </w:rPr>
        <w:t>Using M</w:t>
      </w:r>
      <w:r w:rsidRPr="001A270D">
        <w:rPr>
          <w:b/>
          <w:i/>
          <w:sz w:val="20"/>
          <w:szCs w:val="20"/>
        </w:rPr>
        <w:t>odel</w:t>
      </w:r>
      <w:r>
        <w:rPr>
          <w:b/>
          <w:i/>
          <w:sz w:val="20"/>
          <w:szCs w:val="20"/>
        </w:rPr>
        <w:t xml:space="preserve"> B</w:t>
      </w:r>
      <w:r w:rsidRPr="001A270D">
        <w:rPr>
          <w:b/>
          <w:i/>
          <w:sz w:val="20"/>
          <w:szCs w:val="20"/>
        </w:rPr>
        <w:t xml:space="preserve"> </w:t>
      </w:r>
      <w:r>
        <w:rPr>
          <w:b/>
          <w:i/>
          <w:sz w:val="20"/>
          <w:szCs w:val="20"/>
        </w:rPr>
        <w:t>in TR 38.900 Section 7.6.4</w:t>
      </w:r>
      <w:r w:rsidRPr="001A270D">
        <w:rPr>
          <w:b/>
          <w:i/>
          <w:sz w:val="20"/>
          <w:szCs w:val="20"/>
        </w:rPr>
        <w:t xml:space="preserve"> </w:t>
      </w:r>
      <w:r>
        <w:rPr>
          <w:b/>
          <w:i/>
          <w:sz w:val="20"/>
          <w:szCs w:val="20"/>
        </w:rPr>
        <w:t>(see Appendix A) as baseline, with the following details FFS:</w:t>
      </w:r>
    </w:p>
    <w:p w14:paraId="1F39E2CB" w14:textId="77777777" w:rsidR="00275591" w:rsidRDefault="00275591" w:rsidP="00275591">
      <w:pPr>
        <w:pStyle w:val="BodyText"/>
        <w:numPr>
          <w:ilvl w:val="2"/>
          <w:numId w:val="17"/>
        </w:numPr>
        <w:spacing w:after="240"/>
        <w:jc w:val="both"/>
        <w:rPr>
          <w:b/>
          <w:i/>
          <w:sz w:val="20"/>
          <w:szCs w:val="20"/>
        </w:rPr>
      </w:pPr>
      <w:r>
        <w:rPr>
          <w:b/>
          <w:i/>
          <w:sz w:val="20"/>
          <w:szCs w:val="20"/>
        </w:rPr>
        <w:t>How to determine the number of blockers</w:t>
      </w:r>
    </w:p>
    <w:p w14:paraId="0ABE4789" w14:textId="77777777" w:rsidR="00275591" w:rsidRDefault="00275591" w:rsidP="00275591">
      <w:pPr>
        <w:pStyle w:val="BodyText"/>
        <w:numPr>
          <w:ilvl w:val="2"/>
          <w:numId w:val="17"/>
        </w:numPr>
        <w:spacing w:after="240"/>
        <w:jc w:val="both"/>
        <w:rPr>
          <w:b/>
          <w:i/>
          <w:sz w:val="20"/>
          <w:szCs w:val="20"/>
        </w:rPr>
      </w:pPr>
      <w:r>
        <w:rPr>
          <w:b/>
          <w:i/>
          <w:sz w:val="20"/>
          <w:szCs w:val="20"/>
        </w:rPr>
        <w:t>Additional option of blocker parameters for tall vehicles</w:t>
      </w:r>
    </w:p>
    <w:p w14:paraId="40CB18AE" w14:textId="77777777" w:rsidR="00275591" w:rsidRDefault="00275591" w:rsidP="00275591">
      <w:pPr>
        <w:pStyle w:val="BodyText"/>
        <w:numPr>
          <w:ilvl w:val="2"/>
          <w:numId w:val="17"/>
        </w:numPr>
        <w:spacing w:after="240"/>
        <w:jc w:val="both"/>
        <w:rPr>
          <w:b/>
          <w:i/>
          <w:sz w:val="20"/>
          <w:szCs w:val="20"/>
        </w:rPr>
      </w:pPr>
      <w:r>
        <w:rPr>
          <w:b/>
          <w:i/>
          <w:sz w:val="20"/>
          <w:szCs w:val="20"/>
        </w:rPr>
        <w:t>Other details (if needed).</w:t>
      </w:r>
    </w:p>
    <w:p w14:paraId="4A7E90BE" w14:textId="77777777" w:rsidR="00275591" w:rsidRDefault="00275591" w:rsidP="00275591">
      <w:pPr>
        <w:pStyle w:val="BodyText"/>
        <w:numPr>
          <w:ilvl w:val="1"/>
          <w:numId w:val="17"/>
        </w:numPr>
        <w:spacing w:after="240"/>
        <w:jc w:val="both"/>
        <w:rPr>
          <w:b/>
          <w:i/>
          <w:sz w:val="20"/>
          <w:szCs w:val="20"/>
        </w:rPr>
      </w:pPr>
      <w:r>
        <w:rPr>
          <w:b/>
          <w:i/>
          <w:sz w:val="20"/>
          <w:szCs w:val="20"/>
        </w:rPr>
        <w:t xml:space="preserve">The model shall </w:t>
      </w:r>
      <w:r w:rsidRPr="001A270D">
        <w:rPr>
          <w:b/>
          <w:i/>
          <w:sz w:val="20"/>
          <w:szCs w:val="20"/>
        </w:rPr>
        <w:t>be valid for frequencies 0.</w:t>
      </w:r>
      <w:r>
        <w:rPr>
          <w:b/>
          <w:i/>
          <w:sz w:val="20"/>
          <w:szCs w:val="20"/>
        </w:rPr>
        <w:t>5</w:t>
      </w:r>
      <w:r w:rsidRPr="001A270D">
        <w:rPr>
          <w:b/>
          <w:i/>
          <w:sz w:val="20"/>
          <w:szCs w:val="20"/>
        </w:rPr>
        <w:t>-100 GHz.</w:t>
      </w:r>
    </w:p>
    <w:p w14:paraId="1283559D" w14:textId="7AA0BD82" w:rsidR="00FC58AC" w:rsidRPr="00FC58AC" w:rsidRDefault="00FC58AC" w:rsidP="00407F2A">
      <w:pPr>
        <w:pStyle w:val="BodyText"/>
        <w:spacing w:after="240"/>
        <w:ind w:left="720"/>
        <w:jc w:val="both"/>
        <w:rPr>
          <w:b/>
          <w:i/>
          <w:sz w:val="22"/>
          <w:szCs w:val="22"/>
        </w:rPr>
      </w:pPr>
    </w:p>
    <w:p w14:paraId="5036C165" w14:textId="4DA95A30" w:rsidR="00706C19" w:rsidRPr="00DA1475" w:rsidRDefault="00706C19" w:rsidP="00706C19">
      <w:pPr>
        <w:pStyle w:val="Heading1"/>
      </w:pPr>
      <w:r w:rsidRPr="00DA1475">
        <w:t>Reference</w:t>
      </w:r>
      <w:r w:rsidR="001609AC">
        <w:t>s</w:t>
      </w:r>
    </w:p>
    <w:p w14:paraId="0800B24E" w14:textId="21615E61" w:rsidR="00E33867" w:rsidRDefault="00E33867"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5" w:name="_Ref462771815"/>
      <w:r w:rsidRPr="00E33867">
        <w:rPr>
          <w:rFonts w:ascii="Times New Roman" w:hAnsi="Times New Roman" w:cs="Times New Roman"/>
          <w:color w:val="312E25"/>
          <w:sz w:val="20"/>
          <w:szCs w:val="20"/>
          <w:lang w:eastAsia="sv-SE"/>
        </w:rPr>
        <w:t>3GPP TR 38.802 v0.1.0</w:t>
      </w:r>
      <w:r>
        <w:rPr>
          <w:rFonts w:ascii="Times New Roman" w:hAnsi="Times New Roman" w:cs="Times New Roman"/>
          <w:color w:val="312E25"/>
          <w:sz w:val="20"/>
          <w:szCs w:val="20"/>
          <w:lang w:eastAsia="sv-SE"/>
        </w:rPr>
        <w:t>,</w:t>
      </w:r>
      <w:r w:rsidRPr="00E33867">
        <w:rPr>
          <w:rFonts w:ascii="Times New Roman" w:hAnsi="Times New Roman" w:cs="Times New Roman"/>
          <w:color w:val="312E25"/>
          <w:sz w:val="20"/>
          <w:szCs w:val="20"/>
          <w:lang w:eastAsia="sv-SE"/>
        </w:rPr>
        <w:t xml:space="preserve"> “Technical Specification Group </w:t>
      </w:r>
      <w:r w:rsidRPr="00E33867">
        <w:rPr>
          <w:rFonts w:ascii="Times New Roman" w:hAnsi="Times New Roman" w:cs="Times New Roman" w:hint="eastAsia"/>
          <w:color w:val="312E25"/>
          <w:sz w:val="20"/>
          <w:szCs w:val="20"/>
          <w:lang w:eastAsia="sv-SE"/>
        </w:rPr>
        <w:t>Radio Access Network</w:t>
      </w:r>
      <w:r w:rsidRPr="00E33867">
        <w:rPr>
          <w:rFonts w:ascii="Times New Roman" w:hAnsi="Times New Roman" w:cs="Times New Roman"/>
          <w:color w:val="312E25"/>
          <w:sz w:val="20"/>
          <w:szCs w:val="20"/>
          <w:lang w:eastAsia="sv-SE"/>
        </w:rPr>
        <w:t xml:space="preserve">; </w:t>
      </w:r>
      <w:r w:rsidRPr="00E33867">
        <w:rPr>
          <w:rFonts w:ascii="Times New Roman" w:hAnsi="Times New Roman" w:cs="Times New Roman" w:hint="eastAsia"/>
          <w:color w:val="312E25"/>
          <w:sz w:val="20"/>
          <w:szCs w:val="20"/>
          <w:lang w:eastAsia="sv-SE"/>
        </w:rPr>
        <w:t xml:space="preserve">Study on </w:t>
      </w:r>
      <w:r w:rsidRPr="00E33867">
        <w:rPr>
          <w:rFonts w:ascii="Times New Roman" w:hAnsi="Times New Roman" w:cs="Times New Roman"/>
          <w:color w:val="312E25"/>
          <w:sz w:val="20"/>
          <w:szCs w:val="20"/>
          <w:lang w:eastAsia="sv-SE"/>
        </w:rPr>
        <w:t xml:space="preserve">New Radio </w:t>
      </w:r>
      <w:r w:rsidRPr="00E33867">
        <w:rPr>
          <w:rFonts w:ascii="Times New Roman" w:hAnsi="Times New Roman" w:cs="Times New Roman" w:hint="eastAsia"/>
          <w:color w:val="312E25"/>
          <w:sz w:val="20"/>
          <w:szCs w:val="20"/>
          <w:lang w:eastAsia="sv-SE"/>
        </w:rPr>
        <w:t xml:space="preserve">(NR) </w:t>
      </w:r>
      <w:r w:rsidRPr="00E33867">
        <w:rPr>
          <w:rFonts w:ascii="Times New Roman" w:hAnsi="Times New Roman" w:cs="Times New Roman"/>
          <w:color w:val="312E25"/>
          <w:sz w:val="20"/>
          <w:szCs w:val="20"/>
          <w:lang w:eastAsia="sv-SE"/>
        </w:rPr>
        <w:t xml:space="preserve">Access Technology; Physical Layer Aspects (Release </w:t>
      </w:r>
      <w:r w:rsidRPr="00E33867">
        <w:rPr>
          <w:rFonts w:ascii="Times New Roman" w:hAnsi="Times New Roman" w:cs="Times New Roman" w:hint="eastAsia"/>
          <w:color w:val="312E25"/>
          <w:sz w:val="20"/>
          <w:szCs w:val="20"/>
          <w:lang w:eastAsia="sv-SE"/>
        </w:rPr>
        <w:t>14</w:t>
      </w:r>
      <w:r w:rsidRPr="00E33867">
        <w:rPr>
          <w:rFonts w:ascii="Times New Roman" w:hAnsi="Times New Roman" w:cs="Times New Roman"/>
          <w:color w:val="312E25"/>
          <w:sz w:val="20"/>
          <w:szCs w:val="20"/>
          <w:lang w:eastAsia="sv-SE"/>
        </w:rPr>
        <w:t>)</w:t>
      </w:r>
      <w:r>
        <w:rPr>
          <w:rFonts w:ascii="Times New Roman" w:hAnsi="Times New Roman" w:cs="Times New Roman"/>
          <w:color w:val="312E25"/>
          <w:sz w:val="20"/>
          <w:szCs w:val="20"/>
          <w:lang w:eastAsia="sv-SE"/>
        </w:rPr>
        <w:t>,” Jun. 2016.</w:t>
      </w:r>
    </w:p>
    <w:p w14:paraId="4E55ACAA" w14:textId="7EEA5D82" w:rsidR="00F11673" w:rsidRDefault="001A270D"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6" w:name="_Ref462771794"/>
      <w:bookmarkEnd w:id="5"/>
      <w:r w:rsidRPr="00F11673">
        <w:rPr>
          <w:rFonts w:ascii="Times New Roman" w:hAnsi="Times New Roman" w:cs="Times New Roman"/>
          <w:color w:val="312E25"/>
          <w:sz w:val="20"/>
          <w:szCs w:val="20"/>
          <w:lang w:eastAsia="sv-SE"/>
        </w:rPr>
        <w:t>3GPP TR 36.885</w:t>
      </w:r>
      <w:r w:rsidR="00F11673" w:rsidRPr="00F11673">
        <w:rPr>
          <w:rFonts w:ascii="Times New Roman" w:hAnsi="Times New Roman" w:cs="Times New Roman"/>
          <w:color w:val="312E25"/>
          <w:sz w:val="20"/>
          <w:szCs w:val="20"/>
          <w:lang w:eastAsia="sv-SE"/>
        </w:rPr>
        <w:t xml:space="preserve"> v14.0.0</w:t>
      </w:r>
      <w:r w:rsidR="00E33867">
        <w:rPr>
          <w:rFonts w:ascii="Times New Roman" w:hAnsi="Times New Roman" w:cs="Times New Roman"/>
          <w:color w:val="312E25"/>
          <w:sz w:val="20"/>
          <w:szCs w:val="20"/>
          <w:lang w:eastAsia="sv-SE"/>
        </w:rPr>
        <w:t>,</w:t>
      </w:r>
      <w:r w:rsidR="00F11673" w:rsidRPr="00F11673">
        <w:rPr>
          <w:rFonts w:ascii="Times New Roman" w:hAnsi="Times New Roman" w:cs="Times New Roman"/>
          <w:color w:val="312E25"/>
          <w:sz w:val="20"/>
          <w:szCs w:val="20"/>
          <w:lang w:eastAsia="sv-SE"/>
        </w:rPr>
        <w:t xml:space="preserve"> </w:t>
      </w:r>
      <w:r w:rsidR="00E33867">
        <w:rPr>
          <w:rFonts w:ascii="Times New Roman" w:hAnsi="Times New Roman" w:cs="Times New Roman"/>
          <w:color w:val="312E25"/>
          <w:sz w:val="20"/>
          <w:szCs w:val="20"/>
          <w:lang w:eastAsia="sv-SE"/>
        </w:rPr>
        <w:t>“</w:t>
      </w:r>
      <w:r w:rsidR="00F11673" w:rsidRPr="00F11673">
        <w:rPr>
          <w:rFonts w:ascii="Times New Roman" w:hAnsi="Times New Roman" w:cs="Times New Roman"/>
          <w:color w:val="312E25"/>
          <w:sz w:val="20"/>
          <w:szCs w:val="20"/>
          <w:lang w:eastAsia="sv-SE"/>
        </w:rPr>
        <w:t xml:space="preserve">Technical Specification Group Radio Access Network; Study on </w:t>
      </w:r>
      <w:r w:rsidR="00F11673" w:rsidRPr="00F11673">
        <w:rPr>
          <w:rFonts w:ascii="Times New Roman" w:hAnsi="Times New Roman" w:cs="Times New Roman" w:hint="eastAsia"/>
          <w:color w:val="312E25"/>
          <w:sz w:val="20"/>
          <w:szCs w:val="20"/>
          <w:lang w:eastAsia="sv-SE"/>
        </w:rPr>
        <w:t>LTE-based V2X Services</w:t>
      </w:r>
      <w:r w:rsidR="00F11673" w:rsidRPr="00F11673">
        <w:rPr>
          <w:rFonts w:ascii="Times New Roman" w:hAnsi="Times New Roman" w:cs="Times New Roman"/>
          <w:color w:val="312E25"/>
          <w:sz w:val="20"/>
          <w:szCs w:val="20"/>
          <w:lang w:eastAsia="sv-SE"/>
        </w:rPr>
        <w:t>; (Release 1</w:t>
      </w:r>
      <w:r w:rsidR="00F11673" w:rsidRPr="00F11673">
        <w:rPr>
          <w:rFonts w:ascii="Times New Roman" w:hAnsi="Times New Roman" w:cs="Times New Roman" w:hint="eastAsia"/>
          <w:color w:val="312E25"/>
          <w:sz w:val="20"/>
          <w:szCs w:val="20"/>
          <w:lang w:eastAsia="sv-SE"/>
        </w:rPr>
        <w:t>4</w:t>
      </w:r>
      <w:r w:rsidR="00F11673" w:rsidRPr="00F11673">
        <w:rPr>
          <w:rFonts w:ascii="Times New Roman" w:hAnsi="Times New Roman" w:cs="Times New Roman"/>
          <w:color w:val="312E25"/>
          <w:sz w:val="20"/>
          <w:szCs w:val="20"/>
          <w:lang w:eastAsia="sv-SE"/>
        </w:rPr>
        <w:t>)</w:t>
      </w:r>
      <w:bookmarkEnd w:id="6"/>
      <w:r w:rsidR="00E33867">
        <w:rPr>
          <w:rFonts w:ascii="Times New Roman" w:hAnsi="Times New Roman" w:cs="Times New Roman"/>
          <w:color w:val="312E25"/>
          <w:sz w:val="20"/>
          <w:szCs w:val="20"/>
          <w:lang w:eastAsia="sv-SE"/>
        </w:rPr>
        <w:t>,” June. 2016.</w:t>
      </w:r>
    </w:p>
    <w:p w14:paraId="001232FA" w14:textId="06C063ED" w:rsidR="00875FE9" w:rsidRPr="00F11673" w:rsidRDefault="00875FE9"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7" w:name="_Ref462864524"/>
      <w:r w:rsidRPr="00E57EF0">
        <w:rPr>
          <w:rFonts w:ascii="Times New Roman" w:hAnsi="Times New Roman" w:cs="Times New Roman"/>
          <w:color w:val="312E25"/>
          <w:sz w:val="20"/>
          <w:szCs w:val="20"/>
          <w:lang w:eastAsia="sv-SE"/>
        </w:rPr>
        <w:t>R1-168370</w:t>
      </w:r>
      <w:r>
        <w:rPr>
          <w:rFonts w:ascii="Times New Roman" w:hAnsi="Times New Roman" w:cs="Times New Roman"/>
          <w:color w:val="312E25"/>
          <w:sz w:val="20"/>
          <w:szCs w:val="20"/>
          <w:lang w:eastAsia="sv-SE"/>
        </w:rPr>
        <w:t>, “</w:t>
      </w:r>
      <w:r w:rsidRPr="00DC7F42">
        <w:rPr>
          <w:rFonts w:ascii="Times New Roman" w:hAnsi="Times New Roman" w:cs="Times New Roman"/>
          <w:color w:val="312E25"/>
          <w:sz w:val="20"/>
          <w:szCs w:val="20"/>
          <w:lang w:eastAsia="sv-SE"/>
        </w:rPr>
        <w:t>WF on Modeling Line-of-Sight Blockage for V2V”, Huawei, HiSilicon, Volkswagen, Ericsson, General Motors, Vodafone, Gothenburg, Sweden, 22nd - 26th August 2016.</w:t>
      </w:r>
      <w:bookmarkEnd w:id="7"/>
    </w:p>
    <w:p w14:paraId="7552D4E4" w14:textId="685BE64B" w:rsidR="001A270D" w:rsidRDefault="00283BAD"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8" w:name="_Ref462777576"/>
      <w:r w:rsidRPr="00EA1C3E">
        <w:rPr>
          <w:rFonts w:ascii="Times New Roman" w:hAnsi="Times New Roman" w:cs="Times New Roman"/>
          <w:color w:val="312E25"/>
          <w:sz w:val="20"/>
          <w:szCs w:val="20"/>
          <w:lang w:eastAsia="sv-SE"/>
        </w:rPr>
        <w:t>R1-16</w:t>
      </w:r>
      <w:r w:rsidR="00EA1C3E" w:rsidRPr="00EA1C3E">
        <w:rPr>
          <w:rFonts w:ascii="Times New Roman" w:hAnsi="Times New Roman" w:cs="Times New Roman"/>
          <w:color w:val="312E25"/>
          <w:sz w:val="20"/>
          <w:szCs w:val="20"/>
          <w:lang w:eastAsia="sv-SE"/>
        </w:rPr>
        <w:t>09703</w:t>
      </w:r>
      <w:r w:rsidR="00D832F6">
        <w:rPr>
          <w:rFonts w:ascii="Times New Roman" w:hAnsi="Times New Roman" w:cs="Times New Roman"/>
          <w:color w:val="312E25"/>
          <w:sz w:val="20"/>
          <w:szCs w:val="20"/>
          <w:lang w:eastAsia="sv-SE"/>
        </w:rPr>
        <w:t>,</w:t>
      </w:r>
      <w:r>
        <w:rPr>
          <w:rFonts w:ascii="Times New Roman" w:hAnsi="Times New Roman" w:cs="Times New Roman"/>
          <w:color w:val="312E25"/>
          <w:sz w:val="20"/>
          <w:szCs w:val="20"/>
          <w:lang w:eastAsia="sv-SE"/>
        </w:rPr>
        <w:t xml:space="preserve"> “</w:t>
      </w:r>
      <w:r w:rsidR="00E17229" w:rsidRPr="00707846">
        <w:rPr>
          <w:rFonts w:ascii="Times New Roman" w:hAnsi="Times New Roman" w:cs="Times New Roman"/>
          <w:color w:val="312E25"/>
          <w:sz w:val="20"/>
          <w:szCs w:val="20"/>
          <w:lang w:eastAsia="sv-SE"/>
        </w:rPr>
        <w:t>Antenna pattern at UE/RSU in NR eV2X</w:t>
      </w:r>
      <w:r>
        <w:rPr>
          <w:rFonts w:ascii="Times New Roman" w:hAnsi="Times New Roman" w:cs="Times New Roman"/>
          <w:color w:val="312E25"/>
          <w:sz w:val="20"/>
          <w:szCs w:val="20"/>
          <w:lang w:eastAsia="sv-SE"/>
        </w:rPr>
        <w:t>”, Ericsson</w:t>
      </w:r>
      <w:bookmarkEnd w:id="8"/>
      <w:r>
        <w:rPr>
          <w:rFonts w:ascii="Times New Roman" w:hAnsi="Times New Roman" w:cs="Times New Roman"/>
          <w:color w:val="312E25"/>
          <w:sz w:val="20"/>
          <w:szCs w:val="20"/>
          <w:lang w:eastAsia="sv-SE"/>
        </w:rPr>
        <w:t xml:space="preserve"> </w:t>
      </w:r>
    </w:p>
    <w:p w14:paraId="26B4DFE3" w14:textId="00756488" w:rsidR="00030630" w:rsidRPr="00F11673" w:rsidRDefault="00D832F6"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9" w:name="_Ref462840686"/>
      <w:bookmarkStart w:id="10" w:name="_Ref462777710"/>
      <w:r w:rsidRPr="00DC7F42">
        <w:rPr>
          <w:rFonts w:ascii="Times New Roman" w:hAnsi="Times New Roman" w:cs="Times New Roman"/>
          <w:color w:val="312E25"/>
          <w:sz w:val="20"/>
          <w:szCs w:val="20"/>
          <w:lang w:eastAsia="sv-SE"/>
        </w:rPr>
        <w:lastRenderedPageBreak/>
        <w:t>Draft new Report ITU-R M.[IMT.EVAL] "Guidelines for evaluation of radio interface technologies for IMT-</w:t>
      </w:r>
      <w:r>
        <w:rPr>
          <w:rFonts w:ascii="Times New Roman" w:hAnsi="Times New Roman" w:cs="Times New Roman"/>
          <w:color w:val="312E25"/>
          <w:sz w:val="20"/>
          <w:szCs w:val="20"/>
          <w:lang w:eastAsia="sv-SE"/>
        </w:rPr>
        <w:t>A</w:t>
      </w:r>
      <w:r w:rsidRPr="00DC7F42">
        <w:rPr>
          <w:rFonts w:ascii="Times New Roman" w:hAnsi="Times New Roman" w:cs="Times New Roman"/>
          <w:color w:val="312E25"/>
          <w:sz w:val="20"/>
          <w:szCs w:val="20"/>
          <w:lang w:eastAsia="sv-SE"/>
        </w:rPr>
        <w:t>dvanced", Document 5/69-E.</w:t>
      </w:r>
      <w:bookmarkEnd w:id="9"/>
      <w:bookmarkEnd w:id="10"/>
    </w:p>
    <w:p w14:paraId="43029F87" w14:textId="107F8F8B" w:rsidR="00BD7D3B" w:rsidRDefault="001A270D"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11" w:name="_Ref462776301"/>
      <w:r w:rsidRPr="00C4031E">
        <w:rPr>
          <w:rFonts w:ascii="Times New Roman" w:hAnsi="Times New Roman" w:cs="Times New Roman"/>
          <w:color w:val="312E25"/>
          <w:sz w:val="20"/>
          <w:szCs w:val="20"/>
          <w:lang w:eastAsia="sv-SE"/>
        </w:rPr>
        <w:t>3GPP TR 38.900</w:t>
      </w:r>
      <w:r w:rsidR="00C4031E" w:rsidRPr="00C4031E">
        <w:rPr>
          <w:rFonts w:ascii="Times New Roman" w:hAnsi="Times New Roman" w:cs="Times New Roman"/>
          <w:color w:val="312E25"/>
          <w:sz w:val="20"/>
          <w:szCs w:val="20"/>
          <w:lang w:eastAsia="sv-SE"/>
        </w:rPr>
        <w:t xml:space="preserve">, </w:t>
      </w:r>
      <w:r w:rsidR="00C4031E">
        <w:rPr>
          <w:rFonts w:ascii="Times New Roman" w:hAnsi="Times New Roman" w:cs="Times New Roman"/>
          <w:color w:val="312E25"/>
          <w:sz w:val="20"/>
          <w:szCs w:val="20"/>
          <w:lang w:eastAsia="sv-SE"/>
        </w:rPr>
        <w:t>“</w:t>
      </w:r>
      <w:r w:rsidR="00C4031E" w:rsidRPr="00C4031E">
        <w:rPr>
          <w:rFonts w:ascii="Times New Roman" w:hAnsi="Times New Roman" w:cs="Times New Roman"/>
          <w:color w:val="312E25"/>
          <w:sz w:val="20"/>
          <w:szCs w:val="20"/>
          <w:lang w:eastAsia="sv-SE"/>
        </w:rPr>
        <w:t xml:space="preserve">Technical Specification Group Radio Access Network; Study on channel model for frequency spectrum above 6 GHz (Release </w:t>
      </w:r>
      <w:r w:rsidR="00C4031E" w:rsidRPr="00C4031E">
        <w:rPr>
          <w:rFonts w:ascii="Times New Roman" w:hAnsi="Times New Roman" w:cs="Times New Roman" w:hint="eastAsia"/>
          <w:color w:val="312E25"/>
          <w:sz w:val="20"/>
          <w:szCs w:val="20"/>
          <w:lang w:eastAsia="sv-SE"/>
        </w:rPr>
        <w:t>14</w:t>
      </w:r>
      <w:r w:rsidR="00C4031E" w:rsidRPr="00C4031E">
        <w:rPr>
          <w:rFonts w:ascii="Times New Roman" w:hAnsi="Times New Roman" w:cs="Times New Roman"/>
          <w:color w:val="312E25"/>
          <w:sz w:val="20"/>
          <w:szCs w:val="20"/>
          <w:lang w:eastAsia="sv-SE"/>
        </w:rPr>
        <w:t>)</w:t>
      </w:r>
      <w:r w:rsidR="00C4031E">
        <w:rPr>
          <w:rFonts w:ascii="Times New Roman" w:hAnsi="Times New Roman" w:cs="Times New Roman"/>
          <w:color w:val="312E25"/>
          <w:sz w:val="20"/>
          <w:szCs w:val="20"/>
          <w:lang w:eastAsia="sv-SE"/>
        </w:rPr>
        <w:t>,” Jun. 2016.</w:t>
      </w:r>
      <w:bookmarkEnd w:id="11"/>
    </w:p>
    <w:p w14:paraId="283492C0" w14:textId="5FF21B00" w:rsidR="00875FE9" w:rsidRPr="00560F65" w:rsidRDefault="00BD7D3B" w:rsidP="00707846">
      <w:pPr>
        <w:pStyle w:val="ListParagraph"/>
        <w:numPr>
          <w:ilvl w:val="0"/>
          <w:numId w:val="9"/>
        </w:numPr>
        <w:ind w:left="567" w:hanging="425"/>
        <w:jc w:val="both"/>
        <w:rPr>
          <w:rFonts w:ascii="Times New Roman" w:hAnsi="Times New Roman" w:cs="Times New Roman"/>
          <w:color w:val="312E25"/>
          <w:sz w:val="20"/>
          <w:szCs w:val="20"/>
          <w:lang w:eastAsia="sv-SE"/>
        </w:rPr>
      </w:pPr>
      <w:bookmarkStart w:id="12" w:name="_Ref462843479"/>
      <w:r w:rsidRPr="00560F65">
        <w:rPr>
          <w:rFonts w:ascii="Times New Roman" w:hAnsi="Times New Roman" w:cs="Times New Roman"/>
          <w:color w:val="312E25"/>
          <w:sz w:val="20"/>
          <w:szCs w:val="20"/>
          <w:lang w:eastAsia="sv-SE"/>
        </w:rPr>
        <w:t>R1-160845, “Modeling of blocking”, Ericsson, Keysight, St Julian’s, Malta, February 15 –19, 2016</w:t>
      </w:r>
      <w:bookmarkEnd w:id="12"/>
      <w:r w:rsidR="00EB7CFD" w:rsidRPr="00560F65">
        <w:rPr>
          <w:rFonts w:ascii="Times New Roman" w:hAnsi="Times New Roman" w:cs="Times New Roman"/>
          <w:color w:val="312E25"/>
          <w:sz w:val="20"/>
          <w:szCs w:val="20"/>
          <w:lang w:eastAsia="sv-SE"/>
        </w:rPr>
        <w:t>.</w:t>
      </w:r>
      <w:bookmarkStart w:id="13" w:name="_Ref462845542"/>
    </w:p>
    <w:bookmarkEnd w:id="13"/>
    <w:p w14:paraId="072629DC" w14:textId="431C31F4" w:rsidR="00E57EF0" w:rsidRPr="00707846" w:rsidRDefault="00E57EF0" w:rsidP="00707846">
      <w:pPr>
        <w:pStyle w:val="ListParagraph"/>
        <w:ind w:left="567"/>
        <w:jc w:val="both"/>
        <w:rPr>
          <w:rFonts w:ascii="Times New Roman" w:hAnsi="Times New Roman" w:cs="Times New Roman"/>
          <w:color w:val="312E25"/>
          <w:sz w:val="20"/>
          <w:szCs w:val="20"/>
          <w:lang w:eastAsia="sv-SE"/>
        </w:rPr>
      </w:pPr>
    </w:p>
    <w:p w14:paraId="34DECBB4" w14:textId="7208A586" w:rsidR="004D1C03" w:rsidRDefault="004D1C03" w:rsidP="00A011A6">
      <w:pPr>
        <w:pStyle w:val="ListParagraph"/>
        <w:ind w:left="567"/>
        <w:rPr>
          <w:rFonts w:ascii="Times New Roman" w:hAnsi="Times New Roman" w:cs="Times New Roman"/>
          <w:color w:val="312E25"/>
          <w:sz w:val="20"/>
          <w:szCs w:val="20"/>
          <w:lang w:eastAsia="sv-SE"/>
        </w:rPr>
      </w:pPr>
    </w:p>
    <w:p w14:paraId="50C2F519" w14:textId="7EC1BBFC" w:rsidR="00795F62" w:rsidRDefault="00795F62" w:rsidP="00707846">
      <w:pPr>
        <w:pStyle w:val="Heading1"/>
        <w:rPr>
          <w:lang w:eastAsia="sv-SE"/>
        </w:rPr>
      </w:pPr>
      <w:r>
        <w:rPr>
          <w:lang w:eastAsia="sv-SE"/>
        </w:rPr>
        <w:t>Appendix A</w:t>
      </w:r>
      <w:r w:rsidR="00EB7CFD">
        <w:rPr>
          <w:lang w:eastAsia="sv-SE"/>
        </w:rPr>
        <w:t xml:space="preserve"> (TR 38.900, Section 7.6.4)</w:t>
      </w:r>
    </w:p>
    <w:p w14:paraId="2A0A5C88" w14:textId="77777777" w:rsidR="00C34DE9" w:rsidRPr="00075243" w:rsidRDefault="00C34DE9" w:rsidP="00C34DE9">
      <w:pPr>
        <w:rPr>
          <w:lang w:val="en-US" w:eastAsia="ko-KR"/>
        </w:rPr>
      </w:pPr>
      <w:r w:rsidRPr="0082332A">
        <w:rPr>
          <w:rFonts w:hint="eastAsia"/>
          <w:lang w:eastAsia="ko-KR"/>
        </w:rPr>
        <w:t xml:space="preserve">Blockage </w:t>
      </w:r>
      <w:r w:rsidRPr="00AB4674">
        <w:rPr>
          <w:lang w:eastAsia="ko-KR"/>
        </w:rPr>
        <w:t>modelling</w:t>
      </w:r>
      <w:r w:rsidRPr="00EF5569">
        <w:rPr>
          <w:rFonts w:hint="eastAsia"/>
          <w:lang w:eastAsia="ko-KR"/>
        </w:rPr>
        <w:t xml:space="preserve"> is an add-on feature to the channel model. The method descri</w:t>
      </w:r>
      <w:r w:rsidRPr="00B226DD">
        <w:rPr>
          <w:rFonts w:hint="eastAsia"/>
          <w:lang w:eastAsia="ko-KR"/>
        </w:rPr>
        <w:t xml:space="preserve">bed in the following applies only when this feature is turned on. In addition, the temporal </w:t>
      </w:r>
      <w:r w:rsidRPr="00AF3AA9">
        <w:rPr>
          <w:lang w:eastAsia="ko-KR"/>
        </w:rPr>
        <w:t>variability</w:t>
      </w:r>
      <w:r w:rsidRPr="00EF36FD">
        <w:rPr>
          <w:rFonts w:hint="eastAsia"/>
          <w:lang w:eastAsia="ko-KR"/>
        </w:rPr>
        <w:t xml:space="preserve"> of the blockage </w:t>
      </w:r>
      <w:r w:rsidRPr="009C5551">
        <w:rPr>
          <w:lang w:eastAsia="ko-KR"/>
        </w:rPr>
        <w:t>modelling</w:t>
      </w:r>
      <w:r w:rsidRPr="00D81745">
        <w:rPr>
          <w:rFonts w:hint="eastAsia"/>
          <w:lang w:eastAsia="ko-KR"/>
        </w:rPr>
        <w:t xml:space="preserve"> parameters is on-demand basis. It is also noted that </w:t>
      </w:r>
      <w:r w:rsidRPr="00D81745">
        <w:rPr>
          <w:rFonts w:hint="eastAsia"/>
          <w:lang w:val="en-US" w:eastAsia="ko-KR"/>
        </w:rPr>
        <w:t>t</w:t>
      </w:r>
      <w:r w:rsidRPr="00D81745">
        <w:rPr>
          <w:lang w:val="en-US" w:eastAsia="ko-KR"/>
        </w:rPr>
        <w:t xml:space="preserve">he </w:t>
      </w:r>
      <w:r w:rsidRPr="00225532">
        <w:rPr>
          <w:rFonts w:hint="eastAsia"/>
          <w:lang w:val="en-US" w:eastAsia="ko-KR"/>
        </w:rPr>
        <w:t xml:space="preserve">modeling of the </w:t>
      </w:r>
      <w:r w:rsidRPr="00146717">
        <w:rPr>
          <w:lang w:val="en-US" w:eastAsia="ko-KR"/>
        </w:rPr>
        <w:t>blockage doe</w:t>
      </w:r>
      <w:r w:rsidRPr="00075243">
        <w:rPr>
          <w:lang w:val="en-US" w:eastAsia="ko-KR"/>
        </w:rPr>
        <w:t xml:space="preserve">s not change LOS/NLOS state of </w:t>
      </w:r>
      <w:r w:rsidRPr="00075243">
        <w:rPr>
          <w:rFonts w:hint="eastAsia"/>
          <w:lang w:val="en-US" w:eastAsia="ko-KR"/>
        </w:rPr>
        <w:t>each</w:t>
      </w:r>
      <w:r w:rsidRPr="00075243">
        <w:rPr>
          <w:lang w:val="en-US" w:eastAsia="ko-KR"/>
        </w:rPr>
        <w:t xml:space="preserve"> link.</w:t>
      </w:r>
    </w:p>
    <w:p w14:paraId="6A8C9230" w14:textId="77777777" w:rsidR="00C34DE9" w:rsidRDefault="00C34DE9" w:rsidP="00C34DE9">
      <w:pPr>
        <w:rPr>
          <w:lang w:val="en-US" w:eastAsia="ko-KR"/>
        </w:rPr>
      </w:pPr>
      <w:r w:rsidRPr="008C31F1">
        <w:rPr>
          <w:lang w:val="en-US" w:eastAsia="ko-KR"/>
        </w:rPr>
        <w:t xml:space="preserve">When blockage model is applied, the channel generation in section 7.5 should have several additional steps between step 9 and 10 as illustrated in figure 7.6.4-1. </w:t>
      </w:r>
    </w:p>
    <w:p w14:paraId="2DD131E7" w14:textId="77777777" w:rsidR="00C34DE9" w:rsidRPr="008C31F1" w:rsidRDefault="00C34DE9" w:rsidP="00C34DE9">
      <w:pPr>
        <w:pStyle w:val="TH"/>
        <w:rPr>
          <w:lang w:val="en-US" w:eastAsia="ko-KR"/>
        </w:rPr>
      </w:pPr>
    </w:p>
    <w:p w14:paraId="4D742510" w14:textId="6B99775D" w:rsidR="00C34DE9" w:rsidRPr="00D81745" w:rsidRDefault="00C34DE9" w:rsidP="00C34DE9">
      <w:pPr>
        <w:pStyle w:val="TH"/>
        <w:rPr>
          <w:lang w:val="en-US" w:eastAsia="ko-KR"/>
        </w:rPr>
      </w:pPr>
      <w:r w:rsidRPr="00D81745">
        <w:rPr>
          <w:noProof/>
          <w:lang w:val="en-US"/>
        </w:rPr>
        <w:drawing>
          <wp:inline distT="0" distB="0" distL="0" distR="0" wp14:anchorId="52D3FFD4" wp14:editId="2C2A3E01">
            <wp:extent cx="6124575" cy="3743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4575" cy="3743325"/>
                    </a:xfrm>
                    <a:prstGeom prst="rect">
                      <a:avLst/>
                    </a:prstGeom>
                    <a:noFill/>
                    <a:ln>
                      <a:noFill/>
                    </a:ln>
                  </pic:spPr>
                </pic:pic>
              </a:graphicData>
            </a:graphic>
          </wp:inline>
        </w:drawing>
      </w:r>
    </w:p>
    <w:p w14:paraId="7BBEAEDA" w14:textId="77777777" w:rsidR="00C34DE9" w:rsidRPr="00D81745" w:rsidRDefault="00C34DE9" w:rsidP="00C34DE9">
      <w:pPr>
        <w:pStyle w:val="TF"/>
        <w:rPr>
          <w:lang w:val="en-US" w:eastAsia="ko-KR"/>
        </w:rPr>
      </w:pPr>
      <w:r w:rsidRPr="00D81745">
        <w:rPr>
          <w:lang w:val="en-US" w:eastAsia="ko-KR"/>
        </w:rPr>
        <w:t>Figure.7.6.4-1 Channel generation procedure with blockage model</w:t>
      </w:r>
    </w:p>
    <w:p w14:paraId="16EE6637" w14:textId="15D8C7E6" w:rsidR="00C34DE9" w:rsidRDefault="00C34DE9" w:rsidP="00707846">
      <w:pPr>
        <w:jc w:val="both"/>
        <w:rPr>
          <w:lang w:eastAsia="ko-KR"/>
        </w:rPr>
      </w:pPr>
      <w:r w:rsidRPr="00225532">
        <w:rPr>
          <w:lang w:eastAsia="ko-KR"/>
        </w:rPr>
        <w:t xml:space="preserve">Two </w:t>
      </w:r>
      <w:r w:rsidRPr="00146717">
        <w:rPr>
          <w:rFonts w:hint="eastAsia"/>
          <w:lang w:eastAsia="ko-KR"/>
        </w:rPr>
        <w:t xml:space="preserve">alternative models </w:t>
      </w:r>
      <w:r w:rsidRPr="00075243">
        <w:rPr>
          <w:lang w:eastAsia="ko-KR"/>
        </w:rPr>
        <w:t>(</w:t>
      </w:r>
      <w:r w:rsidRPr="00075243">
        <w:rPr>
          <w:rFonts w:hint="eastAsia"/>
          <w:lang w:eastAsia="ko-KR"/>
        </w:rPr>
        <w:t xml:space="preserve">Model </w:t>
      </w:r>
      <w:r w:rsidRPr="00075243">
        <w:rPr>
          <w:lang w:eastAsia="ko-KR"/>
        </w:rPr>
        <w:t xml:space="preserve">A and </w:t>
      </w:r>
      <w:r w:rsidRPr="008C31F1">
        <w:rPr>
          <w:rFonts w:hint="eastAsia"/>
          <w:lang w:eastAsia="ko-KR"/>
        </w:rPr>
        <w:t xml:space="preserve">Model </w:t>
      </w:r>
      <w:r w:rsidRPr="008C31F1">
        <w:rPr>
          <w:lang w:eastAsia="ko-KR"/>
        </w:rPr>
        <w:t xml:space="preserve">B) are provided for </w:t>
      </w:r>
      <w:r w:rsidRPr="008C31F1">
        <w:rPr>
          <w:rFonts w:hint="eastAsia"/>
          <w:lang w:eastAsia="ko-KR"/>
        </w:rPr>
        <w:t xml:space="preserve">the </w:t>
      </w:r>
      <w:r w:rsidRPr="000839D7">
        <w:rPr>
          <w:lang w:eastAsia="ko-KR"/>
        </w:rPr>
        <w:t xml:space="preserve">blockage </w:t>
      </w:r>
      <w:r w:rsidRPr="00946159">
        <w:rPr>
          <w:lang w:eastAsia="ko-KR"/>
        </w:rPr>
        <w:t>modelling</w:t>
      </w:r>
      <w:r w:rsidRPr="00603600">
        <w:rPr>
          <w:lang w:eastAsia="ko-KR"/>
        </w:rPr>
        <w:t xml:space="preserve">. </w:t>
      </w:r>
      <w:r>
        <w:rPr>
          <w:lang w:eastAsia="ko-KR"/>
        </w:rPr>
        <w:t xml:space="preserve">Both approaches have their </w:t>
      </w:r>
      <w:r>
        <w:rPr>
          <w:rFonts w:hint="eastAsia"/>
          <w:lang w:eastAsia="ko-KR"/>
        </w:rPr>
        <w:t xml:space="preserve">own </w:t>
      </w:r>
      <w:r>
        <w:rPr>
          <w:lang w:eastAsia="ko-KR"/>
        </w:rPr>
        <w:t>use cases</w:t>
      </w:r>
      <w:r>
        <w:rPr>
          <w:rFonts w:hint="eastAsia"/>
          <w:lang w:eastAsia="ko-KR"/>
        </w:rPr>
        <w:t>. Model A is applicable</w:t>
      </w:r>
      <w:r>
        <w:rPr>
          <w:lang w:eastAsia="ko-KR"/>
        </w:rPr>
        <w:t xml:space="preserve"> when a generic and computationally efficient </w:t>
      </w:r>
      <w:r>
        <w:rPr>
          <w:rFonts w:hint="eastAsia"/>
          <w:lang w:eastAsia="ko-KR"/>
        </w:rPr>
        <w:t xml:space="preserve">blockage </w:t>
      </w:r>
      <w:r>
        <w:rPr>
          <w:lang w:eastAsia="ko-KR"/>
        </w:rPr>
        <w:t>modelling</w:t>
      </w:r>
      <w:r>
        <w:rPr>
          <w:rFonts w:hint="eastAsia"/>
          <w:lang w:eastAsia="ko-KR"/>
        </w:rPr>
        <w:t xml:space="preserve"> </w:t>
      </w:r>
      <w:r>
        <w:rPr>
          <w:lang w:eastAsia="ko-KR"/>
        </w:rPr>
        <w:t xml:space="preserve">is </w:t>
      </w:r>
      <w:r>
        <w:rPr>
          <w:rFonts w:hint="eastAsia"/>
          <w:lang w:eastAsia="ko-KR"/>
        </w:rPr>
        <w:t xml:space="preserve">desired. Model B is applicable </w:t>
      </w:r>
      <w:r>
        <w:rPr>
          <w:lang w:eastAsia="ko-KR"/>
        </w:rPr>
        <w:t>when a specific and more realistic blocking modelling</w:t>
      </w:r>
      <w:r>
        <w:rPr>
          <w:rFonts w:hint="eastAsia"/>
          <w:lang w:eastAsia="ko-KR"/>
        </w:rPr>
        <w:t xml:space="preserve"> </w:t>
      </w:r>
      <w:r>
        <w:rPr>
          <w:lang w:eastAsia="ko-KR"/>
        </w:rPr>
        <w:t xml:space="preserve">is </w:t>
      </w:r>
      <w:r>
        <w:rPr>
          <w:rFonts w:hint="eastAsia"/>
          <w:lang w:eastAsia="ko-KR"/>
        </w:rPr>
        <w:t xml:space="preserve">desired. </w:t>
      </w:r>
    </w:p>
    <w:p w14:paraId="38797BCD" w14:textId="77777777" w:rsidR="00C34DE9" w:rsidRDefault="00C34DE9" w:rsidP="00707846">
      <w:pPr>
        <w:jc w:val="both"/>
        <w:rPr>
          <w:lang w:eastAsia="ko-KR"/>
        </w:rPr>
      </w:pPr>
    </w:p>
    <w:p w14:paraId="5DC617F5" w14:textId="6273F708" w:rsidR="00C34DE9" w:rsidRPr="00C34DE9" w:rsidRDefault="00C34DE9" w:rsidP="00707846">
      <w:pPr>
        <w:pStyle w:val="Heading4"/>
        <w:rPr>
          <w:lang w:eastAsia="ko-KR"/>
        </w:rPr>
      </w:pPr>
      <w:bookmarkStart w:id="14" w:name="_Toc452965577"/>
      <w:r w:rsidRPr="00641AA3">
        <w:t>7.6</w:t>
      </w:r>
      <w:r w:rsidRPr="00641AA3">
        <w:rPr>
          <w:lang w:eastAsia="ko-KR"/>
        </w:rPr>
        <w:t>.4</w:t>
      </w:r>
      <w:r w:rsidRPr="00641AA3">
        <w:rPr>
          <w:rFonts w:hint="eastAsia"/>
          <w:lang w:eastAsia="ko-KR"/>
        </w:rPr>
        <w:t>.2</w:t>
      </w:r>
      <w:r w:rsidRPr="00641AA3">
        <w:tab/>
      </w:r>
      <w:r w:rsidRPr="00641AA3">
        <w:rPr>
          <w:lang w:eastAsia="ko-KR"/>
        </w:rPr>
        <w:t xml:space="preserve">Blockage </w:t>
      </w:r>
      <w:r>
        <w:rPr>
          <w:lang w:eastAsia="ko-KR"/>
        </w:rPr>
        <w:t>m</w:t>
      </w:r>
      <w:r w:rsidRPr="00DF0C6D">
        <w:rPr>
          <w:rFonts w:hint="eastAsia"/>
          <w:lang w:eastAsia="ko-KR"/>
        </w:rPr>
        <w:t>odel B</w:t>
      </w:r>
      <w:bookmarkEnd w:id="14"/>
    </w:p>
    <w:p w14:paraId="2DEC9E6D" w14:textId="77777777" w:rsidR="00795F62" w:rsidRPr="00F844C8" w:rsidRDefault="00795F62" w:rsidP="00795F62">
      <w:pPr>
        <w:jc w:val="both"/>
        <w:rPr>
          <w:lang w:eastAsia="ko-KR"/>
        </w:rPr>
      </w:pPr>
      <w:r w:rsidRPr="006F2561">
        <w:rPr>
          <w:rFonts w:hint="eastAsia"/>
          <w:lang w:eastAsia="ko-KR"/>
        </w:rPr>
        <w:t>Model</w:t>
      </w:r>
      <w:r w:rsidRPr="006F2561">
        <w:rPr>
          <w:lang w:eastAsia="ko-KR"/>
        </w:rPr>
        <w:t xml:space="preserve"> </w:t>
      </w:r>
      <w:r w:rsidRPr="006F2561">
        <w:rPr>
          <w:rFonts w:hint="eastAsia"/>
          <w:lang w:eastAsia="ko-KR"/>
        </w:rPr>
        <w:t>B</w:t>
      </w:r>
      <w:r w:rsidRPr="006F2561">
        <w:rPr>
          <w:lang w:eastAsia="ko-KR"/>
        </w:rPr>
        <w:t xml:space="preserve"> </w:t>
      </w:r>
      <w:r w:rsidRPr="00A72B52">
        <w:rPr>
          <w:rFonts w:hint="eastAsia"/>
          <w:lang w:eastAsia="ko-KR"/>
        </w:rPr>
        <w:t xml:space="preserve">adopts </w:t>
      </w:r>
      <w:r w:rsidRPr="00A72B52">
        <w:rPr>
          <w:lang w:eastAsia="ko-KR"/>
        </w:rPr>
        <w:t xml:space="preserve">a </w:t>
      </w:r>
      <w:r w:rsidRPr="00A72B52">
        <w:rPr>
          <w:rFonts w:hint="eastAsia"/>
          <w:lang w:eastAsia="ko-KR"/>
        </w:rPr>
        <w:t>geometric method</w:t>
      </w:r>
      <w:r w:rsidRPr="00F844C8">
        <w:rPr>
          <w:lang w:eastAsia="ko-KR"/>
        </w:rPr>
        <w:t xml:space="preserve"> for capturing</w:t>
      </w:r>
      <w:r>
        <w:rPr>
          <w:rFonts w:hint="eastAsia"/>
          <w:lang w:eastAsia="ko-KR"/>
        </w:rPr>
        <w:t xml:space="preserve"> e.g.,</w:t>
      </w:r>
      <w:r w:rsidRPr="00F844C8">
        <w:rPr>
          <w:lang w:eastAsia="ko-KR"/>
        </w:rPr>
        <w:t xml:space="preserve"> human and vehicular blocking. </w:t>
      </w:r>
    </w:p>
    <w:p w14:paraId="6986968F" w14:textId="77777777" w:rsidR="00795F62" w:rsidRPr="0084533A" w:rsidRDefault="00795F62" w:rsidP="00795F62">
      <w:pPr>
        <w:jc w:val="both"/>
        <w:rPr>
          <w:rFonts w:eastAsia="Times New Roman"/>
          <w:u w:val="single"/>
          <w:lang w:eastAsia="zh-CN"/>
        </w:rPr>
      </w:pPr>
      <w:r w:rsidRPr="00F844C8">
        <w:rPr>
          <w:u w:val="single"/>
          <w:lang w:eastAsia="ko-KR"/>
        </w:rPr>
        <w:t>Step a: Determine blockers</w:t>
      </w:r>
    </w:p>
    <w:p w14:paraId="6B4AD96B" w14:textId="77777777" w:rsidR="00795F62" w:rsidRPr="00075243" w:rsidRDefault="00795F62" w:rsidP="00795F62">
      <w:pPr>
        <w:jc w:val="both"/>
        <w:rPr>
          <w:rFonts w:eastAsia="Times New Roman"/>
          <w:lang w:eastAsia="zh-CN"/>
        </w:rPr>
      </w:pPr>
      <w:r w:rsidRPr="0084533A">
        <w:rPr>
          <w:rFonts w:eastAsia="Times New Roman" w:hint="eastAsia"/>
          <w:lang w:eastAsia="zh-CN"/>
        </w:rPr>
        <w:t>A number</w:t>
      </w:r>
      <w:r w:rsidRPr="0084533A">
        <w:rPr>
          <w:rFonts w:eastAsia="Times New Roman"/>
          <w:lang w:eastAsia="zh-CN"/>
        </w:rPr>
        <w:t>,</w:t>
      </w:r>
      <w:r w:rsidRPr="0084533A">
        <w:rPr>
          <w:rFonts w:eastAsia="Times New Roman" w:hint="eastAsia"/>
          <w:lang w:eastAsia="zh-CN"/>
        </w:rPr>
        <w:t xml:space="preserve"> </w:t>
      </w:r>
      <w:r w:rsidRPr="007B0FFF">
        <w:rPr>
          <w:i/>
          <w:lang w:eastAsia="ko-KR"/>
        </w:rPr>
        <w:t xml:space="preserve">K, </w:t>
      </w:r>
      <w:r w:rsidRPr="0051154D">
        <w:rPr>
          <w:lang w:eastAsia="ko-KR"/>
        </w:rPr>
        <w:t>of</w:t>
      </w:r>
      <w:r w:rsidRPr="00234DAF">
        <w:rPr>
          <w:rFonts w:eastAsia="Times New Roman" w:hint="eastAsia"/>
          <w:i/>
          <w:lang w:eastAsia="zh-CN"/>
        </w:rPr>
        <w:t xml:space="preserve"> </w:t>
      </w:r>
      <w:r w:rsidRPr="00234DAF">
        <w:rPr>
          <w:rFonts w:eastAsia="Times New Roman" w:hint="eastAsia"/>
          <w:lang w:eastAsia="zh-CN"/>
        </w:rPr>
        <w:t xml:space="preserve">blockers are </w:t>
      </w:r>
      <w:r w:rsidRPr="008D23C6">
        <w:rPr>
          <w:rFonts w:eastAsia="Times New Roman"/>
          <w:lang w:eastAsia="zh-CN"/>
        </w:rPr>
        <w:t xml:space="preserve">modelled as rectangular screens that are </w:t>
      </w:r>
      <w:r w:rsidRPr="008D23C6">
        <w:rPr>
          <w:rFonts w:eastAsia="Times New Roman" w:hint="eastAsia"/>
          <w:lang w:eastAsia="zh-CN"/>
        </w:rPr>
        <w:t>physically placed on the map</w:t>
      </w:r>
      <w:r w:rsidRPr="008D23C6">
        <w:rPr>
          <w:rFonts w:eastAsia="Times New Roman"/>
          <w:lang w:eastAsia="zh-CN"/>
        </w:rPr>
        <w:t>. Each screen has</w:t>
      </w:r>
      <w:r w:rsidRPr="008D23C6">
        <w:rPr>
          <w:rFonts w:eastAsia="Times New Roman" w:hint="eastAsia"/>
          <w:lang w:eastAsia="zh-CN"/>
        </w:rPr>
        <w:t xml:space="preserve"> </w:t>
      </w:r>
      <w:r w:rsidRPr="008D23C6">
        <w:rPr>
          <w:rFonts w:eastAsia="Times New Roman"/>
          <w:lang w:eastAsia="zh-CN"/>
        </w:rPr>
        <w:t xml:space="preserve">the dimension by height </w:t>
      </w:r>
      <w:r w:rsidRPr="00681994">
        <w:rPr>
          <w:rFonts w:eastAsia="Times New Roman" w:hint="eastAsia"/>
          <w:lang w:eastAsia="zh-CN"/>
        </w:rPr>
        <w:t>(</w:t>
      </w:r>
      <w:r w:rsidRPr="00DB0033">
        <w:rPr>
          <w:rFonts w:eastAsia="Times New Roman"/>
          <w:lang w:eastAsia="zh-CN"/>
        </w:rPr>
        <w:t>h</w:t>
      </w:r>
      <w:r w:rsidRPr="00BD0CE6">
        <w:rPr>
          <w:rFonts w:eastAsia="Times New Roman"/>
          <w:vertAlign w:val="subscript"/>
          <w:lang w:eastAsia="zh-CN"/>
        </w:rPr>
        <w:t>k</w:t>
      </w:r>
      <w:r w:rsidRPr="00C4768B">
        <w:rPr>
          <w:rFonts w:eastAsia="Times New Roman" w:hint="eastAsia"/>
          <w:lang w:eastAsia="zh-CN"/>
        </w:rPr>
        <w:t>)</w:t>
      </w:r>
      <w:r w:rsidRPr="0082332A">
        <w:rPr>
          <w:rFonts w:eastAsia="Times New Roman"/>
          <w:lang w:eastAsia="zh-CN"/>
        </w:rPr>
        <w:t xml:space="preserve"> and width </w:t>
      </w:r>
      <w:r w:rsidRPr="0082332A">
        <w:rPr>
          <w:rFonts w:eastAsia="Times New Roman" w:hint="eastAsia"/>
          <w:lang w:eastAsia="zh-CN"/>
        </w:rPr>
        <w:t>(</w:t>
      </w:r>
      <w:r w:rsidRPr="00AB4674">
        <w:rPr>
          <w:rFonts w:eastAsia="Times New Roman"/>
          <w:lang w:eastAsia="zh-CN"/>
        </w:rPr>
        <w:t>w</w:t>
      </w:r>
      <w:r w:rsidRPr="00EF5569">
        <w:rPr>
          <w:rFonts w:eastAsia="Times New Roman"/>
          <w:vertAlign w:val="subscript"/>
          <w:lang w:eastAsia="zh-CN"/>
        </w:rPr>
        <w:t>k</w:t>
      </w:r>
      <w:r w:rsidRPr="00B226DD">
        <w:rPr>
          <w:rFonts w:eastAsia="Times New Roman" w:hint="eastAsia"/>
          <w:lang w:eastAsia="zh-CN"/>
        </w:rPr>
        <w:t>)</w:t>
      </w:r>
      <w:r w:rsidRPr="00AF3AA9">
        <w:rPr>
          <w:rFonts w:eastAsia="Times New Roman"/>
          <w:lang w:eastAsia="zh-CN"/>
        </w:rPr>
        <w:t>, with the screen centre at coordinate</w:t>
      </w:r>
      <w:r w:rsidRPr="00EF36FD">
        <w:rPr>
          <w:rFonts w:eastAsia="Times New Roman" w:hint="eastAsia"/>
          <w:lang w:eastAsia="zh-CN"/>
        </w:rPr>
        <w:t xml:space="preserve"> (</w:t>
      </w:r>
      <w:r w:rsidRPr="009C5551">
        <w:rPr>
          <w:rFonts w:eastAsia="Times New Roman"/>
          <w:lang w:eastAsia="zh-CN"/>
        </w:rPr>
        <w:t>x</w:t>
      </w:r>
      <w:r w:rsidRPr="00D81745">
        <w:rPr>
          <w:rFonts w:eastAsia="Times New Roman"/>
          <w:vertAlign w:val="subscript"/>
          <w:lang w:eastAsia="zh-CN"/>
        </w:rPr>
        <w:t>k</w:t>
      </w:r>
      <w:r w:rsidRPr="00D81745">
        <w:rPr>
          <w:rFonts w:eastAsia="Times New Roman"/>
          <w:lang w:eastAsia="zh-CN"/>
        </w:rPr>
        <w:t>,y</w:t>
      </w:r>
      <w:r w:rsidRPr="00D81745">
        <w:rPr>
          <w:rFonts w:eastAsia="Times New Roman"/>
          <w:vertAlign w:val="subscript"/>
          <w:lang w:eastAsia="zh-CN"/>
        </w:rPr>
        <w:t>k</w:t>
      </w:r>
      <w:r w:rsidRPr="00225532">
        <w:rPr>
          <w:rFonts w:eastAsia="Times New Roman"/>
          <w:lang w:eastAsia="zh-CN"/>
        </w:rPr>
        <w:t>,z</w:t>
      </w:r>
      <w:r w:rsidRPr="00146717">
        <w:rPr>
          <w:rFonts w:eastAsia="Times New Roman"/>
          <w:vertAlign w:val="subscript"/>
          <w:lang w:eastAsia="zh-CN"/>
        </w:rPr>
        <w:t>k</w:t>
      </w:r>
      <w:r w:rsidRPr="00075243">
        <w:rPr>
          <w:rFonts w:eastAsia="Times New Roman" w:hint="eastAsia"/>
          <w:lang w:eastAsia="zh-CN"/>
        </w:rPr>
        <w:t xml:space="preserve">). </w:t>
      </w:r>
    </w:p>
    <w:p w14:paraId="3183C62C" w14:textId="77777777" w:rsidR="00795F62" w:rsidRPr="008C31F1" w:rsidRDefault="00795F62" w:rsidP="00795F62">
      <w:pPr>
        <w:jc w:val="both"/>
        <w:rPr>
          <w:rFonts w:eastAsia="Times New Roman"/>
          <w:u w:val="single"/>
          <w:lang w:eastAsia="zh-CN"/>
        </w:rPr>
      </w:pPr>
      <w:r w:rsidRPr="00075243">
        <w:rPr>
          <w:rFonts w:eastAsia="Times New Roman" w:hint="eastAsia"/>
          <w:u w:val="single"/>
          <w:lang w:eastAsia="zh-CN"/>
        </w:rPr>
        <w:t xml:space="preserve">Note: </w:t>
      </w:r>
    </w:p>
    <w:p w14:paraId="275659D5" w14:textId="77777777" w:rsidR="00795F62" w:rsidRPr="00744611" w:rsidRDefault="00795F62" w:rsidP="00795F62">
      <w:pPr>
        <w:pStyle w:val="B1"/>
        <w:rPr>
          <w:rFonts w:eastAsia="Times New Roman"/>
          <w:lang w:eastAsia="zh-CN"/>
        </w:rPr>
      </w:pPr>
      <w:r>
        <w:rPr>
          <w:lang w:eastAsia="ko-KR"/>
        </w:rPr>
        <w:lastRenderedPageBreak/>
        <w:t>-</w:t>
      </w:r>
      <w:r>
        <w:rPr>
          <w:lang w:eastAsia="ko-KR"/>
        </w:rPr>
        <w:tab/>
      </w:r>
      <w:r w:rsidRPr="000839D7">
        <w:rPr>
          <w:lang w:eastAsia="ko-KR"/>
        </w:rPr>
        <w:t>The number of blockers</w:t>
      </w:r>
      <w:r w:rsidRPr="00946159">
        <w:rPr>
          <w:rFonts w:eastAsia="Times New Roman"/>
          <w:lang w:eastAsia="zh-CN"/>
        </w:rPr>
        <w:t xml:space="preserve"> (K)</w:t>
      </w:r>
      <w:r w:rsidRPr="00603600">
        <w:rPr>
          <w:lang w:eastAsia="ko-KR"/>
        </w:rPr>
        <w:t>, their horizontal and vertical extensions</w:t>
      </w:r>
      <w:r w:rsidRPr="00603600">
        <w:rPr>
          <w:rFonts w:eastAsia="Times New Roman"/>
          <w:lang w:eastAsia="zh-CN"/>
        </w:rPr>
        <w:t xml:space="preserve"> (h</w:t>
      </w:r>
      <w:r w:rsidRPr="00492682">
        <w:rPr>
          <w:rFonts w:eastAsia="Times New Roman"/>
          <w:vertAlign w:val="subscript"/>
          <w:lang w:eastAsia="zh-CN"/>
        </w:rPr>
        <w:t>k</w:t>
      </w:r>
      <w:r w:rsidRPr="00744611">
        <w:rPr>
          <w:rFonts w:eastAsia="Times New Roman"/>
          <w:lang w:eastAsia="zh-CN"/>
        </w:rPr>
        <w:t xml:space="preserve"> and w</w:t>
      </w:r>
      <w:r w:rsidRPr="00744611">
        <w:rPr>
          <w:rFonts w:eastAsia="Times New Roman"/>
          <w:vertAlign w:val="subscript"/>
          <w:lang w:eastAsia="zh-CN"/>
        </w:rPr>
        <w:t>k</w:t>
      </w:r>
      <w:r w:rsidRPr="00744611">
        <w:rPr>
          <w:rFonts w:eastAsia="Times New Roman"/>
          <w:lang w:eastAsia="zh-CN"/>
        </w:rPr>
        <w:t>)</w:t>
      </w:r>
      <w:r w:rsidRPr="00744611">
        <w:rPr>
          <w:lang w:eastAsia="ko-KR"/>
        </w:rPr>
        <w:t>, locations</w:t>
      </w:r>
      <w:r w:rsidRPr="00744611">
        <w:rPr>
          <w:rFonts w:eastAsia="Times New Roman"/>
          <w:lang w:eastAsia="zh-CN"/>
        </w:rPr>
        <w:t xml:space="preserve"> (x</w:t>
      </w:r>
      <w:r w:rsidRPr="00744611">
        <w:rPr>
          <w:rFonts w:eastAsia="Times New Roman"/>
          <w:vertAlign w:val="subscript"/>
          <w:lang w:eastAsia="zh-CN"/>
        </w:rPr>
        <w:t>k</w:t>
      </w:r>
      <w:r w:rsidRPr="00744611">
        <w:rPr>
          <w:rFonts w:eastAsia="Times New Roman"/>
          <w:lang w:eastAsia="zh-CN"/>
        </w:rPr>
        <w:t>,y</w:t>
      </w:r>
      <w:r w:rsidRPr="00744611">
        <w:rPr>
          <w:rFonts w:eastAsia="Times New Roman"/>
          <w:vertAlign w:val="subscript"/>
          <w:lang w:eastAsia="zh-CN"/>
        </w:rPr>
        <w:t>k</w:t>
      </w:r>
      <w:r w:rsidRPr="00744611">
        <w:rPr>
          <w:rFonts w:eastAsia="Times New Roman"/>
          <w:lang w:eastAsia="zh-CN"/>
        </w:rPr>
        <w:t>,z</w:t>
      </w:r>
      <w:r w:rsidRPr="00744611">
        <w:rPr>
          <w:rFonts w:eastAsia="Times New Roman"/>
          <w:vertAlign w:val="subscript"/>
          <w:lang w:eastAsia="zh-CN"/>
        </w:rPr>
        <w:t>k</w:t>
      </w:r>
      <w:r w:rsidRPr="00744611">
        <w:rPr>
          <w:rFonts w:eastAsia="Times New Roman"/>
          <w:lang w:eastAsia="zh-CN"/>
        </w:rPr>
        <w:t>)</w:t>
      </w:r>
      <w:r w:rsidRPr="00744611">
        <w:rPr>
          <w:lang w:eastAsia="ko-KR"/>
        </w:rPr>
        <w:t>,</w:t>
      </w:r>
      <w:r w:rsidRPr="00744611">
        <w:rPr>
          <w:rFonts w:eastAsia="Times New Roman" w:hint="eastAsia"/>
          <w:lang w:eastAsia="zh-CN"/>
        </w:rPr>
        <w:t xml:space="preserve"> density, </w:t>
      </w:r>
      <w:r w:rsidRPr="00744611">
        <w:rPr>
          <w:lang w:eastAsia="ko-KR"/>
        </w:rPr>
        <w:t>and movement pattern (if non-stationary) are all simulation assumptions, to allow different blocking scenarios to be constructed depending on the need of the particular simulation study.</w:t>
      </w:r>
    </w:p>
    <w:p w14:paraId="36C0FDAC" w14:textId="77777777" w:rsidR="00795F62" w:rsidRPr="00744611" w:rsidRDefault="00795F62" w:rsidP="00795F62">
      <w:pPr>
        <w:pStyle w:val="B1"/>
        <w:rPr>
          <w:lang w:eastAsia="ko-KR"/>
        </w:rPr>
      </w:pPr>
      <w:r>
        <w:rPr>
          <w:rFonts w:eastAsia="Times New Roman"/>
          <w:lang w:eastAsia="zh-CN"/>
        </w:rPr>
        <w:tab/>
      </w:r>
      <w:r w:rsidRPr="00744611">
        <w:rPr>
          <w:rFonts w:eastAsia="Times New Roman"/>
          <w:lang w:eastAsia="zh-CN"/>
        </w:rPr>
        <w:t>Recommended parameters for typical blockers are provided in Table 7.6.4</w:t>
      </w:r>
      <w:r w:rsidRPr="00744611">
        <w:rPr>
          <w:rFonts w:hint="eastAsia"/>
          <w:lang w:eastAsia="ko-KR"/>
        </w:rPr>
        <w:t>.2</w:t>
      </w:r>
      <w:r w:rsidRPr="00744611">
        <w:rPr>
          <w:rFonts w:eastAsia="Times New Roman"/>
          <w:lang w:eastAsia="zh-CN"/>
        </w:rPr>
        <w:t xml:space="preserve">-5. </w:t>
      </w:r>
    </w:p>
    <w:p w14:paraId="24D0794A" w14:textId="77777777" w:rsidR="00795F62" w:rsidRPr="00744611" w:rsidRDefault="00795F62" w:rsidP="00795F62">
      <w:pPr>
        <w:pStyle w:val="B1"/>
        <w:rPr>
          <w:rFonts w:eastAsia="Times New Roman"/>
          <w:lang w:eastAsia="zh-CN"/>
        </w:rPr>
      </w:pPr>
      <w:r>
        <w:rPr>
          <w:lang w:eastAsia="ko-KR"/>
        </w:rPr>
        <w:t>-</w:t>
      </w:r>
      <w:r>
        <w:rPr>
          <w:lang w:eastAsia="ko-KR"/>
        </w:rPr>
        <w:tab/>
      </w:r>
      <w:r w:rsidRPr="00744611">
        <w:rPr>
          <w:lang w:eastAsia="ko-KR"/>
        </w:rPr>
        <w:t>The blocking effect diminishes with increasing distance to the blocker. For implementation purposes it may be sufficient to consider only the K nearest blockers or the blockers closer than some distance from a specific UE.</w:t>
      </w:r>
      <w:r w:rsidRPr="00744611">
        <w:rPr>
          <w:rFonts w:eastAsia="Times New Roman"/>
          <w:lang w:eastAsia="zh-CN"/>
        </w:rPr>
        <w:t xml:space="preserve">. </w:t>
      </w:r>
    </w:p>
    <w:p w14:paraId="6CC9E27F" w14:textId="77777777" w:rsidR="00795F62" w:rsidRPr="00744611" w:rsidRDefault="00795F62" w:rsidP="00795F62">
      <w:pPr>
        <w:pStyle w:val="TH"/>
        <w:rPr>
          <w:lang w:eastAsia="zh-CN"/>
        </w:rPr>
      </w:pPr>
      <w:r w:rsidRPr="00744611">
        <w:rPr>
          <w:lang w:eastAsia="zh-CN"/>
        </w:rPr>
        <w:t>Table 7.6.4</w:t>
      </w:r>
      <w:r w:rsidRPr="0038490B">
        <w:rPr>
          <w:rFonts w:hint="eastAsia"/>
          <w:lang w:eastAsia="ko-KR"/>
        </w:rPr>
        <w:t>.2</w:t>
      </w:r>
      <w:r w:rsidRPr="00744611">
        <w:rPr>
          <w:lang w:eastAsia="zh-CN"/>
        </w:rPr>
        <w:t xml:space="preserve">-5: Recommended blocker </w:t>
      </w:r>
      <w:r w:rsidRPr="00744611">
        <w:rPr>
          <w:rFonts w:hint="eastAsia"/>
          <w:lang w:eastAsia="zh-CN"/>
        </w:rP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157"/>
        <w:gridCol w:w="2428"/>
        <w:gridCol w:w="2478"/>
      </w:tblGrid>
      <w:tr w:rsidR="00795F62" w:rsidRPr="00744611" w14:paraId="4FD69080" w14:textId="77777777" w:rsidTr="001D487D">
        <w:trPr>
          <w:jc w:val="center"/>
        </w:trPr>
        <w:tc>
          <w:tcPr>
            <w:tcW w:w="0" w:type="auto"/>
            <w:shd w:val="clear" w:color="auto" w:fill="auto"/>
          </w:tcPr>
          <w:p w14:paraId="18032171" w14:textId="77777777" w:rsidR="00795F62" w:rsidRPr="0038490B" w:rsidRDefault="00795F62" w:rsidP="001D487D">
            <w:pPr>
              <w:pStyle w:val="TAH"/>
              <w:rPr>
                <w:lang w:eastAsia="zh-CN"/>
              </w:rPr>
            </w:pPr>
          </w:p>
        </w:tc>
        <w:tc>
          <w:tcPr>
            <w:tcW w:w="0" w:type="auto"/>
            <w:shd w:val="clear" w:color="auto" w:fill="auto"/>
          </w:tcPr>
          <w:p w14:paraId="4B26B6E7" w14:textId="77777777" w:rsidR="00795F62" w:rsidRPr="00540853" w:rsidRDefault="00795F62" w:rsidP="001D487D">
            <w:pPr>
              <w:pStyle w:val="TAH"/>
              <w:rPr>
                <w:lang w:eastAsia="zh-CN"/>
              </w:rPr>
            </w:pPr>
            <w:r w:rsidRPr="00540853">
              <w:rPr>
                <w:lang w:eastAsia="zh-CN"/>
              </w:rPr>
              <w:t>Typical set of blockers</w:t>
            </w:r>
          </w:p>
        </w:tc>
        <w:tc>
          <w:tcPr>
            <w:tcW w:w="0" w:type="auto"/>
            <w:shd w:val="clear" w:color="auto" w:fill="auto"/>
          </w:tcPr>
          <w:p w14:paraId="2743A75E" w14:textId="77777777" w:rsidR="00795F62" w:rsidRPr="00641AA3" w:rsidRDefault="00795F62" w:rsidP="001D487D">
            <w:pPr>
              <w:pStyle w:val="TAH"/>
              <w:rPr>
                <w:lang w:eastAsia="zh-CN"/>
              </w:rPr>
            </w:pPr>
            <w:r w:rsidRPr="00641AA3">
              <w:rPr>
                <w:lang w:eastAsia="zh-CN"/>
              </w:rPr>
              <w:t>Blocker dimensions</w:t>
            </w:r>
          </w:p>
        </w:tc>
        <w:tc>
          <w:tcPr>
            <w:tcW w:w="0" w:type="auto"/>
            <w:shd w:val="clear" w:color="auto" w:fill="auto"/>
          </w:tcPr>
          <w:p w14:paraId="697886C1" w14:textId="77777777" w:rsidR="00795F62" w:rsidRPr="00DF0C6D" w:rsidRDefault="00795F62" w:rsidP="001D487D">
            <w:pPr>
              <w:pStyle w:val="TAH"/>
              <w:rPr>
                <w:lang w:eastAsia="zh-CN"/>
              </w:rPr>
            </w:pPr>
            <w:r w:rsidRPr="00641AA3">
              <w:rPr>
                <w:lang w:eastAsia="zh-CN"/>
              </w:rPr>
              <w:t>Mobility pattern</w:t>
            </w:r>
          </w:p>
        </w:tc>
      </w:tr>
      <w:tr w:rsidR="00795F62" w:rsidRPr="00744611" w14:paraId="24A2E508" w14:textId="77777777" w:rsidTr="001D487D">
        <w:trPr>
          <w:jc w:val="center"/>
        </w:trPr>
        <w:tc>
          <w:tcPr>
            <w:tcW w:w="0" w:type="auto"/>
            <w:shd w:val="clear" w:color="auto" w:fill="auto"/>
          </w:tcPr>
          <w:p w14:paraId="75725809" w14:textId="77777777" w:rsidR="00795F62" w:rsidRPr="006F2561" w:rsidRDefault="00795F62" w:rsidP="001D487D">
            <w:pPr>
              <w:pStyle w:val="TAH"/>
              <w:rPr>
                <w:rFonts w:eastAsia="Times New Roman"/>
                <w:lang w:eastAsia="zh-CN"/>
              </w:rPr>
            </w:pPr>
            <w:r w:rsidRPr="006F2561">
              <w:rPr>
                <w:rFonts w:eastAsia="Times New Roman"/>
                <w:lang w:eastAsia="zh-CN"/>
              </w:rPr>
              <w:t>Indoor; Outdoor</w:t>
            </w:r>
          </w:p>
        </w:tc>
        <w:tc>
          <w:tcPr>
            <w:tcW w:w="0" w:type="auto"/>
            <w:shd w:val="clear" w:color="auto" w:fill="auto"/>
          </w:tcPr>
          <w:p w14:paraId="3EA853CC" w14:textId="77777777" w:rsidR="00795F62" w:rsidRPr="006F2561" w:rsidRDefault="00795F62" w:rsidP="001D487D">
            <w:pPr>
              <w:pStyle w:val="TAC"/>
              <w:rPr>
                <w:lang w:eastAsia="zh-CN"/>
              </w:rPr>
            </w:pPr>
            <w:r w:rsidRPr="006F2561">
              <w:rPr>
                <w:lang w:eastAsia="zh-CN"/>
              </w:rPr>
              <w:t>Human</w:t>
            </w:r>
          </w:p>
        </w:tc>
        <w:tc>
          <w:tcPr>
            <w:tcW w:w="0" w:type="auto"/>
            <w:shd w:val="clear" w:color="auto" w:fill="auto"/>
          </w:tcPr>
          <w:p w14:paraId="5AA37CC5" w14:textId="77777777" w:rsidR="00795F62" w:rsidRPr="00A72B52" w:rsidRDefault="00795F62" w:rsidP="001D487D">
            <w:pPr>
              <w:pStyle w:val="TAC"/>
              <w:rPr>
                <w:lang w:eastAsia="zh-CN"/>
              </w:rPr>
            </w:pPr>
            <w:r w:rsidRPr="00A72B52">
              <w:rPr>
                <w:lang w:eastAsia="zh-CN"/>
              </w:rPr>
              <w:t>Cartesian: w=0.3m; h=1.7m</w:t>
            </w:r>
          </w:p>
        </w:tc>
        <w:tc>
          <w:tcPr>
            <w:tcW w:w="0" w:type="auto"/>
            <w:shd w:val="clear" w:color="auto" w:fill="auto"/>
          </w:tcPr>
          <w:p w14:paraId="4CF66C3B" w14:textId="77777777" w:rsidR="00795F62" w:rsidRPr="00F844C8" w:rsidRDefault="00795F62" w:rsidP="001D487D">
            <w:pPr>
              <w:pStyle w:val="TAC"/>
              <w:rPr>
                <w:lang w:eastAsia="zh-CN"/>
              </w:rPr>
            </w:pPr>
            <w:r w:rsidRPr="00A72B52">
              <w:rPr>
                <w:lang w:eastAsia="zh-CN"/>
              </w:rPr>
              <w:t>Stationary or up to 3 km/h</w:t>
            </w:r>
          </w:p>
        </w:tc>
      </w:tr>
      <w:tr w:rsidR="00795F62" w:rsidRPr="00744611" w14:paraId="5E144719" w14:textId="77777777" w:rsidTr="001D487D">
        <w:trPr>
          <w:jc w:val="center"/>
        </w:trPr>
        <w:tc>
          <w:tcPr>
            <w:tcW w:w="0" w:type="auto"/>
            <w:shd w:val="clear" w:color="auto" w:fill="auto"/>
          </w:tcPr>
          <w:p w14:paraId="18393655" w14:textId="77777777" w:rsidR="00795F62" w:rsidRPr="0082332A" w:rsidRDefault="00795F62" w:rsidP="001D487D">
            <w:pPr>
              <w:pStyle w:val="TAH"/>
              <w:rPr>
                <w:rFonts w:eastAsia="Times New Roman"/>
                <w:lang w:eastAsia="zh-CN"/>
              </w:rPr>
            </w:pPr>
            <w:r w:rsidRPr="0082332A">
              <w:rPr>
                <w:rFonts w:eastAsia="Times New Roman"/>
                <w:lang w:eastAsia="zh-CN"/>
              </w:rPr>
              <w:t>Outdoor</w:t>
            </w:r>
          </w:p>
        </w:tc>
        <w:tc>
          <w:tcPr>
            <w:tcW w:w="0" w:type="auto"/>
            <w:shd w:val="clear" w:color="auto" w:fill="auto"/>
          </w:tcPr>
          <w:p w14:paraId="65E606DC" w14:textId="77777777" w:rsidR="00795F62" w:rsidRPr="00EF5569" w:rsidRDefault="00795F62" w:rsidP="001D487D">
            <w:pPr>
              <w:pStyle w:val="TAC"/>
              <w:rPr>
                <w:lang w:eastAsia="zh-CN"/>
              </w:rPr>
            </w:pPr>
            <w:r w:rsidRPr="00EF5569">
              <w:rPr>
                <w:lang w:eastAsia="zh-CN"/>
              </w:rPr>
              <w:t>Vehicle</w:t>
            </w:r>
          </w:p>
        </w:tc>
        <w:tc>
          <w:tcPr>
            <w:tcW w:w="0" w:type="auto"/>
            <w:shd w:val="clear" w:color="auto" w:fill="auto"/>
          </w:tcPr>
          <w:p w14:paraId="44A217AA" w14:textId="77777777" w:rsidR="00795F62" w:rsidRPr="00D81745" w:rsidRDefault="00795F62" w:rsidP="001D487D">
            <w:pPr>
              <w:pStyle w:val="TAC"/>
              <w:rPr>
                <w:lang w:eastAsia="zh-CN"/>
              </w:rPr>
            </w:pPr>
            <w:r w:rsidRPr="00D81745">
              <w:rPr>
                <w:lang w:eastAsia="zh-CN"/>
              </w:rPr>
              <w:t>Cartesian: w=4.8m; h=1.4m</w:t>
            </w:r>
          </w:p>
        </w:tc>
        <w:tc>
          <w:tcPr>
            <w:tcW w:w="0" w:type="auto"/>
            <w:shd w:val="clear" w:color="auto" w:fill="auto"/>
          </w:tcPr>
          <w:p w14:paraId="1972A442" w14:textId="77777777" w:rsidR="00795F62" w:rsidRPr="008C31F1" w:rsidRDefault="00795F62" w:rsidP="001D487D">
            <w:pPr>
              <w:pStyle w:val="TAC"/>
              <w:rPr>
                <w:lang w:eastAsia="zh-CN"/>
              </w:rPr>
            </w:pPr>
            <w:r w:rsidRPr="00075243">
              <w:rPr>
                <w:lang w:eastAsia="zh-CN"/>
              </w:rPr>
              <w:t>Stationary or up to 100 km/h</w:t>
            </w:r>
          </w:p>
        </w:tc>
      </w:tr>
    </w:tbl>
    <w:p w14:paraId="4AF88317" w14:textId="77777777" w:rsidR="00795F62" w:rsidRPr="00492682" w:rsidRDefault="00795F62" w:rsidP="00795F62">
      <w:pPr>
        <w:jc w:val="both"/>
        <w:rPr>
          <w:u w:val="single"/>
          <w:lang w:eastAsia="ko-KR"/>
        </w:rPr>
      </w:pPr>
    </w:p>
    <w:p w14:paraId="3AC9F09B" w14:textId="77777777" w:rsidR="00795F62" w:rsidRPr="00744611" w:rsidRDefault="00795F62" w:rsidP="00795F62">
      <w:pPr>
        <w:jc w:val="both"/>
        <w:rPr>
          <w:rFonts w:eastAsia="Times New Roman"/>
          <w:u w:val="single"/>
          <w:lang w:eastAsia="zh-CN"/>
        </w:rPr>
      </w:pPr>
      <w:r w:rsidRPr="00744611">
        <w:rPr>
          <w:u w:val="single"/>
          <w:lang w:eastAsia="ko-KR"/>
        </w:rPr>
        <w:t>Step b: Determine the blockage attenuation for each cluster</w:t>
      </w:r>
    </w:p>
    <w:p w14:paraId="70204FAF" w14:textId="77777777" w:rsidR="00795F62" w:rsidRPr="00744611" w:rsidRDefault="00795F62" w:rsidP="00795F62">
      <w:pPr>
        <w:jc w:val="both"/>
        <w:rPr>
          <w:rFonts w:eastAsia="Times New Roman"/>
          <w:iCs/>
          <w:lang w:eastAsia="zh-CN"/>
        </w:rPr>
      </w:pPr>
      <w:r w:rsidRPr="00744611">
        <w:rPr>
          <w:rFonts w:eastAsia="Times New Roman"/>
          <w:iCs/>
          <w:lang w:eastAsia="zh-CN"/>
        </w:rPr>
        <w:t xml:space="preserve">Attenuation caused by each blocker to each of clusters is </w:t>
      </w:r>
      <w:r w:rsidRPr="00744611">
        <w:t>modelled using a simple knife edge diffraction model</w:t>
      </w:r>
      <w:r w:rsidRPr="00744611">
        <w:rPr>
          <w:rFonts w:eastAsia="Times New Roman"/>
          <w:iCs/>
          <w:lang w:eastAsia="zh-CN"/>
        </w:rPr>
        <w:t xml:space="preserve"> </w:t>
      </w:r>
      <w:r w:rsidRPr="00744611">
        <w:rPr>
          <w:rFonts w:eastAsia="Times New Roman" w:hint="eastAsia"/>
          <w:iCs/>
          <w:lang w:eastAsia="zh-CN"/>
        </w:rPr>
        <w:t xml:space="preserve">and is </w:t>
      </w:r>
      <w:r w:rsidRPr="00744611">
        <w:rPr>
          <w:rFonts w:eastAsia="Times New Roman"/>
          <w:iCs/>
          <w:lang w:eastAsia="zh-CN"/>
        </w:rPr>
        <w:t xml:space="preserve">given by </w:t>
      </w:r>
    </w:p>
    <w:p w14:paraId="229DE390" w14:textId="5F14AD8E" w:rsidR="00795F62" w:rsidRPr="00795F62" w:rsidRDefault="009E2E15" w:rsidP="00795F62">
      <w:pPr>
        <w:pStyle w:val="EQ"/>
        <w:jc w:val="center"/>
        <w:rPr>
          <w:rFonts w:eastAsia="Times New Roman"/>
          <w:lang w:eastAsia="zh-CN"/>
        </w:rPr>
      </w:pPr>
      <m:oMathPara>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dB</m:t>
              </m:r>
            </m:sub>
          </m:sSub>
          <m:r>
            <w:rPr>
              <w:rFonts w:ascii="Cambria Math" w:hAnsi="Cambria Math"/>
              <w:szCs w:val="22"/>
            </w:rPr>
            <m:t>=-20</m:t>
          </m:r>
          <m:func>
            <m:funcPr>
              <m:ctrlPr>
                <w:rPr>
                  <w:rFonts w:ascii="Cambria Math" w:hAnsi="Cambria Math"/>
                  <w:i/>
                  <w:szCs w:val="22"/>
                </w:rPr>
              </m:ctrlPr>
            </m:funcPr>
            <m:fName>
              <m:sSub>
                <m:sSubPr>
                  <m:ctrlPr>
                    <w:rPr>
                      <w:rFonts w:ascii="Cambria Math" w:hAnsi="Cambria Math"/>
                      <w:szCs w:val="22"/>
                    </w:rPr>
                  </m:ctrlPr>
                </m:sSubPr>
                <m:e>
                  <m:r>
                    <m:rPr>
                      <m:sty m:val="p"/>
                    </m:rPr>
                    <w:rPr>
                      <w:rFonts w:ascii="Cambria Math" w:hAnsi="Cambria Math"/>
                      <w:szCs w:val="22"/>
                    </w:rPr>
                    <m:t>log</m:t>
                  </m:r>
                </m:e>
                <m:sub>
                  <m:r>
                    <m:rPr>
                      <m:sty m:val="p"/>
                    </m:rPr>
                    <w:rPr>
                      <w:rFonts w:ascii="Cambria Math" w:hAnsi="Cambria Math"/>
                      <w:szCs w:val="22"/>
                    </w:rPr>
                    <m:t>10</m:t>
                  </m:r>
                </m:sub>
              </m:sSub>
            </m:fName>
            <m:e>
              <m:d>
                <m:dPr>
                  <m:ctrlPr>
                    <w:rPr>
                      <w:rFonts w:ascii="Cambria Math" w:hAnsi="Cambria Math"/>
                      <w:i/>
                      <w:szCs w:val="22"/>
                    </w:rPr>
                  </m:ctrlPr>
                </m:dPr>
                <m:e>
                  <m:r>
                    <w:rPr>
                      <w:rFonts w:ascii="Cambria Math" w:hAnsi="Cambria Math"/>
                      <w:szCs w:val="22"/>
                    </w:rPr>
                    <m:t>1-</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F</m:t>
                          </m:r>
                        </m:e>
                        <m:sub>
                          <m:r>
                            <w:rPr>
                              <w:rFonts w:ascii="Cambria Math" w:hAnsi="Cambria Math"/>
                              <w:szCs w:val="22"/>
                            </w:rPr>
                            <m:t>h1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F</m:t>
                          </m:r>
                        </m:e>
                        <m:sub>
                          <m:r>
                            <w:rPr>
                              <w:rFonts w:ascii="Cambria Math" w:hAnsi="Cambria Math"/>
                              <w:szCs w:val="22"/>
                            </w:rPr>
                            <m:t>h2</m:t>
                          </m:r>
                        </m:sub>
                      </m:sSub>
                    </m:e>
                  </m:d>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F</m:t>
                          </m:r>
                        </m:e>
                        <m:sub>
                          <m:r>
                            <w:rPr>
                              <w:rFonts w:ascii="Cambria Math" w:hAnsi="Cambria Math"/>
                              <w:szCs w:val="22"/>
                            </w:rPr>
                            <m:t>w1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F</m:t>
                          </m:r>
                        </m:e>
                        <m:sub>
                          <m:r>
                            <w:rPr>
                              <w:rFonts w:ascii="Cambria Math" w:hAnsi="Cambria Math"/>
                              <w:szCs w:val="22"/>
                            </w:rPr>
                            <m:t>w2</m:t>
                          </m:r>
                        </m:sub>
                      </m:sSub>
                    </m:e>
                  </m:d>
                </m:e>
              </m:d>
            </m:e>
          </m:func>
        </m:oMath>
      </m:oMathPara>
    </w:p>
    <w:p w14:paraId="1E2FCFE0" w14:textId="7EE66BF4" w:rsidR="00795F62" w:rsidRPr="00641AA3" w:rsidRDefault="00795F62" w:rsidP="00795F62">
      <w:pPr>
        <w:spacing w:beforeLines="50" w:before="120" w:afterLines="50" w:after="120"/>
        <w:jc w:val="both"/>
        <w:rPr>
          <w:rFonts w:eastAsia="Times New Roman"/>
          <w:szCs w:val="22"/>
          <w:lang w:eastAsia="zh-CN"/>
        </w:rPr>
      </w:pPr>
      <w:r w:rsidRPr="00540853">
        <w:rPr>
          <w:rFonts w:eastAsia="Times New Roman" w:hint="eastAsia"/>
          <w:lang w:eastAsia="zh-CN"/>
        </w:rPr>
        <w:t>w</w:t>
      </w:r>
      <w:r w:rsidRPr="00641AA3">
        <w:rPr>
          <w:lang w:eastAsia="ko-KR"/>
        </w:rPr>
        <w:t>here</w:t>
      </w:r>
      <w:r w:rsidRPr="00641AA3">
        <w:rPr>
          <w:rFonts w:eastAsia="Times New Roman" w:hint="eastAsia"/>
          <w:lang w:eastAsia="zh-CN"/>
        </w:rPr>
        <w:t xml:space="preserve"> </w:t>
      </w:r>
      <w:r w:rsidRPr="00641AA3">
        <w:rPr>
          <w:rFonts w:cs="Arial"/>
          <w:szCs w:val="22"/>
        </w:rPr>
        <w:t xml:space="preserve">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h1</m:t>
            </m:r>
          </m:sub>
        </m:sSub>
      </m:oMath>
      <w:r w:rsidRPr="0038490B">
        <w:rPr>
          <w:szCs w:val="22"/>
        </w:rPr>
        <w:t>,</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h2</m:t>
            </m:r>
          </m:sub>
        </m:sSub>
      </m:oMath>
      <w:r w:rsidRPr="0038490B">
        <w:rPr>
          <w:szCs w:val="22"/>
        </w:rPr>
        <w:t xml:space="preserve"> and</w:t>
      </w:r>
      <w:r w:rsidRPr="00540853">
        <w:rPr>
          <w:rFonts w:cs="Arial"/>
          <w:szCs w:val="22"/>
        </w:rPr>
        <w:t xml:space="preserve">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w1</m:t>
            </m:r>
          </m:sub>
        </m:sSub>
      </m:oMath>
      <w:r w:rsidRPr="0038490B">
        <w:rPr>
          <w:szCs w:val="22"/>
        </w:rPr>
        <w:t>,</w:t>
      </w:r>
      <m:oMath>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F</m:t>
            </m:r>
          </m:e>
          <m:sub>
            <m:r>
              <w:rPr>
                <w:rFonts w:ascii="Cambria Math" w:hAnsi="Cambria Math"/>
                <w:szCs w:val="22"/>
              </w:rPr>
              <m:t>w2</m:t>
            </m:r>
          </m:sub>
        </m:sSub>
      </m:oMath>
      <w:r w:rsidRPr="0038490B">
        <w:rPr>
          <w:szCs w:val="22"/>
        </w:rPr>
        <w:t xml:space="preserve"> acc</w:t>
      </w:r>
      <w:r w:rsidRPr="00540853">
        <w:rPr>
          <w:szCs w:val="22"/>
        </w:rPr>
        <w:t>ount</w:t>
      </w:r>
      <w:r w:rsidRPr="00641AA3">
        <w:t xml:space="preserve"> </w:t>
      </w:r>
      <w:r w:rsidRPr="00641AA3">
        <w:rPr>
          <w:szCs w:val="22"/>
        </w:rPr>
        <w:t>for knife edge diffraction at the four edges</w:t>
      </w:r>
      <w:r w:rsidRPr="00641AA3">
        <w:rPr>
          <w:rFonts w:eastAsia="Times New Roman" w:hint="eastAsia"/>
          <w:szCs w:val="22"/>
          <w:lang w:eastAsia="zh-CN"/>
        </w:rPr>
        <w:t>, and are given by</w:t>
      </w:r>
    </w:p>
    <w:p w14:paraId="2B467F92" w14:textId="53978F49" w:rsidR="00795F62" w:rsidRPr="00795F62" w:rsidRDefault="009E2E15" w:rsidP="00795F62">
      <w:pPr>
        <w:spacing w:beforeLines="50" w:before="120" w:afterLines="50" w:after="120"/>
        <w:jc w:val="both"/>
        <w:rPr>
          <w:rFonts w:eastAsia="Times New Roman"/>
          <w:szCs w:val="22"/>
          <w:lang w:eastAsia="zh-CN"/>
        </w:rPr>
      </w:pPr>
      <m:oMathPara>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h1</m:t>
              </m:r>
              <m:d>
                <m:dPr>
                  <m:begChr m:val="|"/>
                  <m:endChr m:val="|"/>
                  <m:ctrlPr>
                    <w:rPr>
                      <w:rFonts w:ascii="Cambria Math" w:hAnsi="Cambria Math"/>
                      <w:i/>
                      <w:szCs w:val="22"/>
                    </w:rPr>
                  </m:ctrlPr>
                </m:dPr>
                <m:e>
                  <m:r>
                    <w:rPr>
                      <w:rFonts w:ascii="Cambria Math" w:hAnsi="Cambria Math"/>
                      <w:szCs w:val="22"/>
                    </w:rPr>
                    <m:t>h2</m:t>
                  </m:r>
                </m:e>
              </m:d>
              <m:r>
                <w:rPr>
                  <w:rFonts w:ascii="Cambria Math" w:hAnsi="Cambria Math"/>
                  <w:szCs w:val="22"/>
                </w:rPr>
                <m:t>w1|w2</m:t>
              </m:r>
            </m:sub>
          </m:sSub>
          <m:r>
            <w:rPr>
              <w:rFonts w:ascii="Cambria Math" w:hAnsi="Cambria Math"/>
              <w:szCs w:val="22"/>
            </w:rPr>
            <m:t>=</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f>
                      <m:fPr>
                        <m:ctrlPr>
                          <w:rPr>
                            <w:rFonts w:ascii="Cambria Math" w:hAnsi="Cambria Math"/>
                            <w:i/>
                            <w:szCs w:val="22"/>
                          </w:rPr>
                        </m:ctrlPr>
                      </m:fPr>
                      <m:num>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r>
                                  <w:rPr>
                                    <w:rFonts w:ascii="Cambria Math" w:hAnsi="Cambria Math"/>
                                    <w:szCs w:val="22"/>
                                  </w:rPr>
                                  <m:t>±</m:t>
                                </m:r>
                                <m:f>
                                  <m:fPr>
                                    <m:ctrlPr>
                                      <w:rPr>
                                        <w:rFonts w:ascii="Cambria Math" w:hAnsi="Cambria Math"/>
                                        <w:i/>
                                        <w:szCs w:val="22"/>
                                      </w:rPr>
                                    </m:ctrlPr>
                                  </m:fPr>
                                  <m:num>
                                    <m:r>
                                      <w:rPr>
                                        <w:rFonts w:ascii="Cambria Math" w:hAnsi="Cambria Math"/>
                                        <w:szCs w:val="22"/>
                                      </w:rPr>
                                      <m:t>π</m:t>
                                    </m:r>
                                  </m:num>
                                  <m:den>
                                    <m:r>
                                      <w:rPr>
                                        <w:rFonts w:ascii="Cambria Math" w:hAnsi="Cambria Math"/>
                                        <w:szCs w:val="22"/>
                                      </w:rPr>
                                      <m:t>2</m:t>
                                    </m:r>
                                  </m:den>
                                </m:f>
                                <m:rad>
                                  <m:radPr>
                                    <m:degHide m:val="1"/>
                                    <m:ctrlPr>
                                      <w:rPr>
                                        <w:rFonts w:ascii="Cambria Math" w:hAnsi="Cambria Math"/>
                                        <w:i/>
                                        <w:szCs w:val="22"/>
                                      </w:rPr>
                                    </m:ctrlPr>
                                  </m:radPr>
                                  <m:deg/>
                                  <m:e>
                                    <m:f>
                                      <m:fPr>
                                        <m:ctrlPr>
                                          <w:rPr>
                                            <w:rFonts w:ascii="Cambria Math" w:hAnsi="Cambria Math"/>
                                            <w:i/>
                                            <w:szCs w:val="22"/>
                                          </w:rPr>
                                        </m:ctrlPr>
                                      </m:fPr>
                                      <m:num>
                                        <m:r>
                                          <w:rPr>
                                            <w:rFonts w:ascii="Cambria Math" w:hAnsi="Cambria Math"/>
                                            <w:szCs w:val="22"/>
                                          </w:rPr>
                                          <m:t>π</m:t>
                                        </m:r>
                                      </m:num>
                                      <m:den>
                                        <m:r>
                                          <w:rPr>
                                            <w:rFonts w:ascii="Cambria Math" w:hAnsi="Cambria Math"/>
                                            <w:szCs w:val="22"/>
                                          </w:rPr>
                                          <m:t>λ</m:t>
                                        </m:r>
                                      </m:den>
                                    </m:f>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D1</m:t>
                                            </m:r>
                                          </m:e>
                                          <m:sub>
                                            <m:r>
                                              <w:rPr>
                                                <w:rFonts w:ascii="Cambria Math" w:hAnsi="Cambria Math"/>
                                                <w:szCs w:val="22"/>
                                              </w:rPr>
                                              <m:t>h1</m:t>
                                            </m:r>
                                            <m:d>
                                              <m:dPr>
                                                <m:begChr m:val="|"/>
                                                <m:endChr m:val="|"/>
                                                <m:ctrlPr>
                                                  <w:rPr>
                                                    <w:rFonts w:ascii="Cambria Math" w:hAnsi="Cambria Math"/>
                                                    <w:i/>
                                                    <w:szCs w:val="22"/>
                                                  </w:rPr>
                                                </m:ctrlPr>
                                              </m:dPr>
                                              <m:e>
                                                <m:r>
                                                  <w:rPr>
                                                    <w:rFonts w:ascii="Cambria Math" w:hAnsi="Cambria Math"/>
                                                    <w:szCs w:val="22"/>
                                                  </w:rPr>
                                                  <m:t>h2</m:t>
                                                </m:r>
                                              </m:e>
                                            </m:d>
                                            <m:r>
                                              <w:rPr>
                                                <w:rFonts w:ascii="Cambria Math" w:hAnsi="Cambria Math"/>
                                                <w:szCs w:val="22"/>
                                              </w:rPr>
                                              <m:t>w1|w2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D2</m:t>
                                            </m:r>
                                          </m:e>
                                          <m:sub>
                                            <m:r>
                                              <w:rPr>
                                                <w:rFonts w:ascii="Cambria Math" w:hAnsi="Cambria Math"/>
                                                <w:szCs w:val="22"/>
                                              </w:rPr>
                                              <m:t>h1</m:t>
                                            </m:r>
                                            <m:d>
                                              <m:dPr>
                                                <m:begChr m:val="|"/>
                                                <m:endChr m:val="|"/>
                                                <m:ctrlPr>
                                                  <w:rPr>
                                                    <w:rFonts w:ascii="Cambria Math" w:hAnsi="Cambria Math"/>
                                                    <w:i/>
                                                    <w:szCs w:val="22"/>
                                                  </w:rPr>
                                                </m:ctrlPr>
                                              </m:dPr>
                                              <m:e>
                                                <m:r>
                                                  <w:rPr>
                                                    <w:rFonts w:ascii="Cambria Math" w:hAnsi="Cambria Math"/>
                                                    <w:szCs w:val="22"/>
                                                  </w:rPr>
                                                  <m:t>h2</m:t>
                                                </m:r>
                                              </m:e>
                                            </m:d>
                                            <m:r>
                                              <w:rPr>
                                                <w:rFonts w:ascii="Cambria Math" w:hAnsi="Cambria Math"/>
                                                <w:szCs w:val="22"/>
                                              </w:rPr>
                                              <m:t>w1|w2</m:t>
                                            </m:r>
                                          </m:sub>
                                        </m:sSub>
                                        <m:r>
                                          <w:rPr>
                                            <w:rFonts w:ascii="Cambria Math" w:hAnsi="Cambria Math"/>
                                            <w:szCs w:val="22"/>
                                          </w:rPr>
                                          <m:t>-r</m:t>
                                        </m:r>
                                      </m:e>
                                    </m:d>
                                  </m:e>
                                </m:rad>
                              </m:e>
                            </m:d>
                          </m:e>
                        </m:func>
                      </m:num>
                      <m:den>
                        <m:r>
                          <w:rPr>
                            <w:rFonts w:ascii="Cambria Math" w:hAnsi="Cambria Math"/>
                            <w:szCs w:val="22"/>
                          </w:rPr>
                          <m:t>π</m:t>
                        </m:r>
                      </m:den>
                    </m:f>
                  </m:e>
                  <m:e>
                    <m:r>
                      <w:rPr>
                        <w:rFonts w:ascii="Cambria Math" w:hAnsi="Cambria Math"/>
                        <w:szCs w:val="22"/>
                      </w:rPr>
                      <m:t>for direct path in LOS</m:t>
                    </m:r>
                  </m:e>
                </m:mr>
                <m:mr>
                  <m:e>
                    <m:f>
                      <m:fPr>
                        <m:ctrlPr>
                          <w:rPr>
                            <w:rFonts w:ascii="Cambria Math" w:hAnsi="Cambria Math"/>
                            <w:i/>
                            <w:szCs w:val="22"/>
                          </w:rPr>
                        </m:ctrlPr>
                      </m:fPr>
                      <m:num>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r>
                                  <w:rPr>
                                    <w:rFonts w:ascii="Cambria Math" w:hAnsi="Cambria Math"/>
                                    <w:szCs w:val="22"/>
                                  </w:rPr>
                                  <m:t>±</m:t>
                                </m:r>
                                <m:f>
                                  <m:fPr>
                                    <m:ctrlPr>
                                      <w:rPr>
                                        <w:rFonts w:ascii="Cambria Math" w:hAnsi="Cambria Math"/>
                                        <w:i/>
                                        <w:szCs w:val="22"/>
                                      </w:rPr>
                                    </m:ctrlPr>
                                  </m:fPr>
                                  <m:num>
                                    <m:r>
                                      <w:rPr>
                                        <w:rFonts w:ascii="Cambria Math" w:hAnsi="Cambria Math"/>
                                        <w:szCs w:val="22"/>
                                      </w:rPr>
                                      <m:t>π</m:t>
                                    </m:r>
                                  </m:num>
                                  <m:den>
                                    <m:r>
                                      <w:rPr>
                                        <w:rFonts w:ascii="Cambria Math" w:hAnsi="Cambria Math"/>
                                        <w:szCs w:val="22"/>
                                      </w:rPr>
                                      <m:t>2</m:t>
                                    </m:r>
                                  </m:den>
                                </m:f>
                                <m:rad>
                                  <m:radPr>
                                    <m:degHide m:val="1"/>
                                    <m:ctrlPr>
                                      <w:rPr>
                                        <w:rFonts w:ascii="Cambria Math" w:hAnsi="Cambria Math"/>
                                        <w:i/>
                                        <w:szCs w:val="22"/>
                                      </w:rPr>
                                    </m:ctrlPr>
                                  </m:radPr>
                                  <m:deg/>
                                  <m:e>
                                    <m:f>
                                      <m:fPr>
                                        <m:ctrlPr>
                                          <w:rPr>
                                            <w:rFonts w:ascii="Cambria Math" w:hAnsi="Cambria Math"/>
                                            <w:i/>
                                            <w:szCs w:val="22"/>
                                          </w:rPr>
                                        </m:ctrlPr>
                                      </m:fPr>
                                      <m:num>
                                        <m:r>
                                          <w:rPr>
                                            <w:rFonts w:ascii="Cambria Math" w:hAnsi="Cambria Math"/>
                                            <w:szCs w:val="22"/>
                                          </w:rPr>
                                          <m:t>π</m:t>
                                        </m:r>
                                      </m:num>
                                      <m:den>
                                        <m:r>
                                          <w:rPr>
                                            <w:rFonts w:ascii="Cambria Math" w:hAnsi="Cambria Math"/>
                                            <w:szCs w:val="22"/>
                                          </w:rPr>
                                          <m:t>λ</m:t>
                                        </m:r>
                                      </m:den>
                                    </m:f>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D1</m:t>
                                            </m:r>
                                          </m:e>
                                          <m:sub>
                                            <m:r>
                                              <w:rPr>
                                                <w:rFonts w:ascii="Cambria Math" w:hAnsi="Cambria Math"/>
                                                <w:szCs w:val="22"/>
                                              </w:rPr>
                                              <m:t>h1</m:t>
                                            </m:r>
                                            <m:d>
                                              <m:dPr>
                                                <m:begChr m:val="|"/>
                                                <m:endChr m:val="|"/>
                                                <m:ctrlPr>
                                                  <w:rPr>
                                                    <w:rFonts w:ascii="Cambria Math" w:hAnsi="Cambria Math"/>
                                                    <w:i/>
                                                    <w:szCs w:val="22"/>
                                                  </w:rPr>
                                                </m:ctrlPr>
                                              </m:dPr>
                                              <m:e>
                                                <m:r>
                                                  <w:rPr>
                                                    <w:rFonts w:ascii="Cambria Math" w:hAnsi="Cambria Math"/>
                                                    <w:szCs w:val="22"/>
                                                  </w:rPr>
                                                  <m:t>h2</m:t>
                                                </m:r>
                                              </m:e>
                                            </m:d>
                                            <m:r>
                                              <w:rPr>
                                                <w:rFonts w:ascii="Cambria Math" w:hAnsi="Cambria Math"/>
                                                <w:szCs w:val="22"/>
                                              </w:rPr>
                                              <m:t>w1|w2</m:t>
                                            </m:r>
                                          </m:sub>
                                        </m:sSub>
                                        <m:r>
                                          <w:rPr>
                                            <w:rFonts w:ascii="Cambria Math" w:hAnsi="Cambria Math"/>
                                            <w:szCs w:val="22"/>
                                          </w:rPr>
                                          <m:t>-r</m:t>
                                        </m:r>
                                      </m:e>
                                    </m:d>
                                  </m:e>
                                </m:rad>
                              </m:e>
                            </m:d>
                          </m:e>
                        </m:func>
                      </m:num>
                      <m:den>
                        <m:r>
                          <w:rPr>
                            <w:rFonts w:ascii="Cambria Math" w:hAnsi="Cambria Math"/>
                            <w:szCs w:val="22"/>
                          </w:rPr>
                          <m:t>π</m:t>
                        </m:r>
                      </m:den>
                    </m:f>
                  </m:e>
                  <m:e>
                    <m:r>
                      <w:rPr>
                        <w:rFonts w:ascii="Cambria Math" w:hAnsi="Cambria Math"/>
                        <w:szCs w:val="22"/>
                      </w:rPr>
                      <m:t>for all other paths</m:t>
                    </m:r>
                  </m:e>
                </m:mr>
              </m:m>
            </m:e>
          </m:d>
        </m:oMath>
      </m:oMathPara>
    </w:p>
    <w:p w14:paraId="4A98CA8C" w14:textId="055A2D5B" w:rsidR="00795F62" w:rsidRPr="008D23C6" w:rsidRDefault="00795F62" w:rsidP="00795F62">
      <w:pPr>
        <w:spacing w:beforeLines="50" w:before="120" w:afterLines="50" w:after="120"/>
        <w:jc w:val="both"/>
        <w:rPr>
          <w:lang w:eastAsia="ko-KR"/>
        </w:rPr>
      </w:pPr>
      <w:r w:rsidRPr="00540853">
        <w:rPr>
          <w:rFonts w:eastAsia="Times New Roman" w:hint="eastAsia"/>
          <w:szCs w:val="22"/>
          <w:lang w:eastAsia="zh-CN"/>
        </w:rPr>
        <w:t xml:space="preserve">where </w:t>
      </w:r>
      <m:oMath>
        <m:r>
          <w:rPr>
            <w:rFonts w:ascii="Cambria Math" w:hAnsi="Cambria Math" w:cs="Arial"/>
            <w:szCs w:val="22"/>
          </w:rPr>
          <m:t>λ</m:t>
        </m:r>
      </m:oMath>
      <w:r w:rsidRPr="0038490B">
        <w:rPr>
          <w:szCs w:val="22"/>
        </w:rPr>
        <w:t xml:space="preserve"> is the wave length</w:t>
      </w:r>
      <w:r w:rsidRPr="00540853">
        <w:rPr>
          <w:rFonts w:eastAsia="Times New Roman" w:hint="eastAsia"/>
          <w:szCs w:val="22"/>
          <w:lang w:eastAsia="zh-CN"/>
        </w:rPr>
        <w:t xml:space="preserve">, As shown in </w:t>
      </w:r>
      <w:r w:rsidRPr="00641AA3">
        <w:rPr>
          <w:rFonts w:eastAsia="Times New Roman"/>
          <w:lang w:eastAsia="zh-CN"/>
        </w:rPr>
        <w:t xml:space="preserve">Figure </w:t>
      </w:r>
      <w:r w:rsidRPr="00641AA3">
        <w:t>7.6.4-2</w:t>
      </w:r>
      <w:r w:rsidRPr="00641AA3">
        <w:rPr>
          <w:rFonts w:eastAsia="Times New Roman" w:hint="eastAsia"/>
          <w:lang w:eastAsia="zh-CN"/>
        </w:rPr>
        <w:t xml:space="preserve">, </w:t>
      </w:r>
      <m:oMath>
        <m:sSub>
          <m:sSubPr>
            <m:ctrlPr>
              <w:rPr>
                <w:rFonts w:ascii="Cambria Math" w:hAnsi="Cambria Math"/>
                <w:i/>
                <w:szCs w:val="22"/>
              </w:rPr>
            </m:ctrlPr>
          </m:sSubPr>
          <m:e>
            <m:r>
              <w:rPr>
                <w:rFonts w:ascii="Cambria Math" w:hAnsi="Cambria Math"/>
                <w:szCs w:val="22"/>
              </w:rPr>
              <m:t>D1</m:t>
            </m:r>
          </m:e>
          <m:sub>
            <m:r>
              <w:rPr>
                <w:rFonts w:ascii="Cambria Math" w:hAnsi="Cambria Math"/>
                <w:szCs w:val="22"/>
              </w:rPr>
              <m:t>h1</m:t>
            </m:r>
            <m:d>
              <m:dPr>
                <m:begChr m:val="|"/>
                <m:endChr m:val="|"/>
                <m:ctrlPr>
                  <w:rPr>
                    <w:rFonts w:ascii="Cambria Math" w:hAnsi="Cambria Math"/>
                    <w:i/>
                    <w:szCs w:val="22"/>
                  </w:rPr>
                </m:ctrlPr>
              </m:dPr>
              <m:e>
                <m:r>
                  <w:rPr>
                    <w:rFonts w:ascii="Cambria Math" w:hAnsi="Cambria Math"/>
                    <w:szCs w:val="22"/>
                  </w:rPr>
                  <m:t>h2</m:t>
                </m:r>
              </m:e>
            </m:d>
            <m:r>
              <w:rPr>
                <w:rFonts w:ascii="Cambria Math" w:hAnsi="Cambria Math"/>
                <w:szCs w:val="22"/>
              </w:rPr>
              <m:t>w1|w2</m:t>
            </m:r>
          </m:sub>
        </m:sSub>
      </m:oMath>
      <w:r w:rsidRPr="0038490B">
        <w:rPr>
          <w:lang w:eastAsia="ko-KR"/>
        </w:rPr>
        <w:t xml:space="preserve"> are the projected distances </w:t>
      </w:r>
      <w:r w:rsidRPr="00540853">
        <w:rPr>
          <w:lang w:eastAsia="ko-KR"/>
        </w:rPr>
        <w:t>between the receiver and four edges of the corresponding blocker</w:t>
      </w:r>
      <w:r w:rsidRPr="00641AA3">
        <w:rPr>
          <w:rFonts w:eastAsia="Times New Roman" w:hint="eastAsia"/>
          <w:lang w:eastAsia="zh-CN"/>
        </w:rPr>
        <w:t xml:space="preserve">, and </w:t>
      </w:r>
      <m:oMath>
        <m:sSub>
          <m:sSubPr>
            <m:ctrlPr>
              <w:rPr>
                <w:rFonts w:ascii="Cambria Math" w:hAnsi="Cambria Math"/>
                <w:i/>
                <w:szCs w:val="22"/>
              </w:rPr>
            </m:ctrlPr>
          </m:sSubPr>
          <m:e>
            <m:r>
              <w:rPr>
                <w:rFonts w:ascii="Cambria Math" w:hAnsi="Cambria Math"/>
                <w:szCs w:val="22"/>
              </w:rPr>
              <m:t>D2</m:t>
            </m:r>
          </m:e>
          <m:sub>
            <m:r>
              <w:rPr>
                <w:rFonts w:ascii="Cambria Math" w:hAnsi="Cambria Math"/>
                <w:szCs w:val="22"/>
              </w:rPr>
              <m:t>h1</m:t>
            </m:r>
            <m:d>
              <m:dPr>
                <m:begChr m:val="|"/>
                <m:endChr m:val="|"/>
                <m:ctrlPr>
                  <w:rPr>
                    <w:rFonts w:ascii="Cambria Math" w:hAnsi="Cambria Math"/>
                    <w:i/>
                    <w:szCs w:val="22"/>
                  </w:rPr>
                </m:ctrlPr>
              </m:dPr>
              <m:e>
                <m:r>
                  <w:rPr>
                    <w:rFonts w:ascii="Cambria Math" w:hAnsi="Cambria Math"/>
                    <w:szCs w:val="22"/>
                  </w:rPr>
                  <m:t>h2</m:t>
                </m:r>
              </m:e>
            </m:d>
            <m:r>
              <w:rPr>
                <w:rFonts w:ascii="Cambria Math" w:hAnsi="Cambria Math"/>
                <w:szCs w:val="22"/>
              </w:rPr>
              <m:t>w1|w2</m:t>
            </m:r>
          </m:sub>
        </m:sSub>
        <m:r>
          <w:rPr>
            <w:rFonts w:ascii="Cambria Math" w:hAnsi="Cambria Math"/>
            <w:szCs w:val="22"/>
          </w:rPr>
          <m:t xml:space="preserve"> </m:t>
        </m:r>
      </m:oMath>
      <w:r w:rsidRPr="0038490B">
        <w:rPr>
          <w:lang w:eastAsia="ko-KR"/>
        </w:rPr>
        <w:t xml:space="preserve">are the projected distances </w:t>
      </w:r>
      <w:r w:rsidRPr="00540853">
        <w:rPr>
          <w:lang w:eastAsia="ko-KR"/>
        </w:rPr>
        <w:t xml:space="preserve">between the </w:t>
      </w:r>
      <w:r w:rsidRPr="00641AA3">
        <w:rPr>
          <w:rFonts w:eastAsia="Times New Roman" w:hint="eastAsia"/>
          <w:lang w:eastAsia="zh-CN"/>
        </w:rPr>
        <w:t>transmitter</w:t>
      </w:r>
      <w:r w:rsidRPr="00641AA3">
        <w:rPr>
          <w:lang w:eastAsia="ko-KR"/>
        </w:rPr>
        <w:t xml:space="preserve"> and four edges of the corresponding blocker</w:t>
      </w:r>
      <w:r w:rsidRPr="00641AA3">
        <w:rPr>
          <w:rFonts w:eastAsia="Times New Roman" w:hint="eastAsia"/>
          <w:lang w:eastAsia="zh-CN"/>
        </w:rPr>
        <w:t xml:space="preserve">.  </w:t>
      </w:r>
      <w:r w:rsidRPr="00DF0C6D">
        <w:rPr>
          <w:rFonts w:eastAsia="Times New Roman"/>
          <w:lang w:eastAsia="zh-CN"/>
        </w:rPr>
        <w:t xml:space="preserve">For each cluster, the blocker screen is rotated around its centre such that the arrival direction of </w:t>
      </w:r>
      <w:r w:rsidRPr="004E1F46">
        <w:rPr>
          <w:rFonts w:hint="eastAsia"/>
          <w:lang w:eastAsia="ko-KR"/>
        </w:rPr>
        <w:t xml:space="preserve">the corresponding path </w:t>
      </w:r>
      <w:r w:rsidRPr="00DF0C6D">
        <w:rPr>
          <w:rFonts w:eastAsia="Times New Roman"/>
          <w:lang w:eastAsia="zh-CN"/>
        </w:rPr>
        <w:t xml:space="preserve">is </w:t>
      </w:r>
      <w:r w:rsidRPr="006F2561">
        <w:rPr>
          <w:rFonts w:eastAsia="Times New Roman" w:hint="eastAsia"/>
          <w:lang w:eastAsia="zh-CN"/>
        </w:rPr>
        <w:t xml:space="preserve">always </w:t>
      </w:r>
      <w:r w:rsidRPr="006F2561">
        <w:rPr>
          <w:rFonts w:eastAsia="Times New Roman"/>
          <w:lang w:eastAsia="zh-CN"/>
        </w:rPr>
        <w:t xml:space="preserve">perpendicular to the screen. </w:t>
      </w:r>
      <w:r w:rsidRPr="006F2561">
        <w:t xml:space="preserve">It should be noted that different rotations are required for </w:t>
      </w:r>
      <w:r>
        <w:rPr>
          <w:rFonts w:hint="eastAsia"/>
          <w:lang w:eastAsia="ko-KR"/>
        </w:rPr>
        <w:t>each individual sub-</w:t>
      </w:r>
      <w:r w:rsidRPr="006F2561">
        <w:t>path</w:t>
      </w:r>
      <w:r w:rsidRPr="00A72B52">
        <w:t>.</w:t>
      </w:r>
      <w:r w:rsidRPr="00A72B52">
        <w:rPr>
          <w:rFonts w:eastAsia="Times New Roman" w:hint="eastAsia"/>
          <w:lang w:eastAsia="zh-CN"/>
        </w:rPr>
        <w:t xml:space="preserve"> </w:t>
      </w:r>
      <w:r w:rsidRPr="004E1F46">
        <w:rPr>
          <w:rFonts w:hint="eastAsia"/>
          <w:lang w:eastAsia="ko-KR"/>
        </w:rPr>
        <w:t xml:space="preserve">As the </w:t>
      </w:r>
      <w:r w:rsidRPr="004E1F46">
        <w:rPr>
          <w:lang w:eastAsia="ko-KR"/>
        </w:rPr>
        <w:t>screen</w:t>
      </w:r>
      <w:r w:rsidRPr="004E1F46">
        <w:rPr>
          <w:rFonts w:hint="eastAsia"/>
          <w:lang w:eastAsia="ko-KR"/>
        </w:rPr>
        <w:t xml:space="preserve"> is perpendicular to each sub-path, </w:t>
      </w:r>
      <w:r w:rsidRPr="00F844C8">
        <w:rPr>
          <w:rFonts w:eastAsia="Times New Roman"/>
          <w:i/>
          <w:lang w:eastAsia="zh-CN"/>
        </w:rPr>
        <w:t>r</w:t>
      </w:r>
      <w:r w:rsidRPr="00F844C8">
        <w:rPr>
          <w:rFonts w:eastAsia="Times New Roman"/>
          <w:lang w:eastAsia="zh-CN"/>
        </w:rPr>
        <w:t xml:space="preserve"> </w:t>
      </w:r>
      <w:r w:rsidRPr="0084533A">
        <w:rPr>
          <w:lang w:eastAsia="ko-KR"/>
        </w:rPr>
        <w:t xml:space="preserve">is the distance </w:t>
      </w:r>
      <w:r w:rsidRPr="0084533A">
        <w:rPr>
          <w:rFonts w:eastAsia="Times New Roman" w:hint="eastAsia"/>
          <w:lang w:eastAsia="zh-CN"/>
        </w:rPr>
        <w:t>between the transmitter and receiver for direct path in LOS, and is the distance between the blocker screen and</w:t>
      </w:r>
      <w:r w:rsidRPr="0084533A">
        <w:rPr>
          <w:lang w:eastAsia="ko-KR"/>
        </w:rPr>
        <w:t xml:space="preserve"> receiver</w:t>
      </w:r>
      <w:r w:rsidRPr="007B0FFF">
        <w:rPr>
          <w:rFonts w:eastAsia="Times New Roman" w:hint="eastAsia"/>
          <w:lang w:eastAsia="zh-CN"/>
        </w:rPr>
        <w:t xml:space="preserve"> for all</w:t>
      </w:r>
      <w:r w:rsidRPr="0051154D">
        <w:rPr>
          <w:rFonts w:eastAsia="Times New Roman" w:hint="eastAsia"/>
          <w:lang w:eastAsia="zh-CN"/>
        </w:rPr>
        <w:t xml:space="preserve"> </w:t>
      </w:r>
      <w:r w:rsidRPr="004E1F46">
        <w:rPr>
          <w:rFonts w:hint="eastAsia"/>
          <w:lang w:eastAsia="ko-KR"/>
        </w:rPr>
        <w:t xml:space="preserve">the </w:t>
      </w:r>
      <w:r w:rsidRPr="0051154D">
        <w:rPr>
          <w:rFonts w:eastAsia="Times New Roman" w:hint="eastAsia"/>
          <w:lang w:eastAsia="zh-CN"/>
        </w:rPr>
        <w:t xml:space="preserve">other paths. </w:t>
      </w:r>
      <w:r w:rsidRPr="00234DAF">
        <w:rPr>
          <w:rFonts w:eastAsia="Times New Roman"/>
          <w:lang w:eastAsia="zh-CN"/>
        </w:rPr>
        <w:t xml:space="preserve">In the equation of </w:t>
      </w:r>
      <w:r w:rsidRPr="00234DAF">
        <w:rPr>
          <w:rFonts w:eastAsia="Times New Roman"/>
          <w:i/>
          <w:lang w:eastAsia="zh-CN"/>
        </w:rPr>
        <w:t>F</w:t>
      </w:r>
      <w:r w:rsidRPr="008D23C6">
        <w:rPr>
          <w:rFonts w:eastAsia="Times New Roman"/>
          <w:i/>
          <w:vertAlign w:val="subscript"/>
          <w:lang w:eastAsia="zh-CN"/>
        </w:rPr>
        <w:t>h1|h2|w1|w2</w:t>
      </w:r>
      <w:r w:rsidRPr="008D23C6">
        <w:rPr>
          <w:rFonts w:eastAsia="Times New Roman"/>
          <w:lang w:eastAsia="zh-CN"/>
        </w:rPr>
        <w:t xml:space="preserve">, </w:t>
      </w:r>
      <w:r w:rsidRPr="008D23C6">
        <w:rPr>
          <w:lang w:eastAsia="ko-KR"/>
        </w:rPr>
        <w:t>the plus and minus signs are determined in such a way that, as shown in Figure 7.6.4</w:t>
      </w:r>
      <w:r w:rsidRPr="008D23C6">
        <w:rPr>
          <w:rFonts w:hint="eastAsia"/>
          <w:lang w:eastAsia="ko-KR"/>
        </w:rPr>
        <w:t>.2</w:t>
      </w:r>
      <w:r w:rsidRPr="008D23C6">
        <w:rPr>
          <w:lang w:eastAsia="ko-KR"/>
        </w:rPr>
        <w:t xml:space="preserve">-2, </w:t>
      </w:r>
    </w:p>
    <w:p w14:paraId="629F33C6" w14:textId="77777777" w:rsidR="00795F62" w:rsidRPr="009C5551" w:rsidRDefault="00795F62" w:rsidP="00795F62">
      <w:pPr>
        <w:pStyle w:val="B1"/>
        <w:rPr>
          <w:lang w:eastAsia="ko-KR"/>
        </w:rPr>
      </w:pPr>
      <w:r>
        <w:rPr>
          <w:lang w:eastAsia="ko-KR"/>
        </w:rPr>
        <w:t>-</w:t>
      </w:r>
      <w:r>
        <w:rPr>
          <w:lang w:eastAsia="ko-KR"/>
        </w:rPr>
        <w:tab/>
      </w:r>
      <w:r w:rsidRPr="00681994">
        <w:rPr>
          <w:lang w:eastAsia="ko-KR"/>
        </w:rPr>
        <w:t>if the inner angle between D1</w:t>
      </w:r>
      <w:r w:rsidRPr="00DB0033">
        <w:rPr>
          <w:vertAlign w:val="subscript"/>
          <w:lang w:eastAsia="ko-KR"/>
        </w:rPr>
        <w:t xml:space="preserve">h1 </w:t>
      </w:r>
      <w:r w:rsidRPr="00BD0CE6">
        <w:rPr>
          <w:lang w:eastAsia="ko-KR"/>
        </w:rPr>
        <w:t>(or D1</w:t>
      </w:r>
      <w:r w:rsidRPr="00C4768B">
        <w:rPr>
          <w:vertAlign w:val="subscript"/>
          <w:lang w:eastAsia="ko-KR"/>
        </w:rPr>
        <w:t>h2</w:t>
      </w:r>
      <w:r w:rsidRPr="0082332A">
        <w:rPr>
          <w:lang w:eastAsia="ko-KR"/>
        </w:rPr>
        <w:t>) and h (i.e., h</w:t>
      </w:r>
      <w:r w:rsidRPr="0082332A">
        <w:rPr>
          <w:vertAlign w:val="subscript"/>
          <w:lang w:eastAsia="ko-KR"/>
        </w:rPr>
        <w:t>k</w:t>
      </w:r>
      <w:r w:rsidRPr="00AB4674">
        <w:rPr>
          <w:lang w:eastAsia="ko-KR"/>
        </w:rPr>
        <w:t xml:space="preserve"> for k-th blocker) is acute, plus sign is applied to F</w:t>
      </w:r>
      <w:r w:rsidRPr="00EF5569">
        <w:rPr>
          <w:vertAlign w:val="subscript"/>
          <w:lang w:eastAsia="ko-KR"/>
        </w:rPr>
        <w:t>h1</w:t>
      </w:r>
      <w:r w:rsidRPr="00B226DD">
        <w:rPr>
          <w:lang w:eastAsia="ko-KR"/>
        </w:rPr>
        <w:t xml:space="preserve"> (or </w:t>
      </w:r>
      <w:r w:rsidRPr="00AF3AA9">
        <w:rPr>
          <w:lang w:eastAsia="ko-KR"/>
        </w:rPr>
        <w:t>F</w:t>
      </w:r>
      <w:r w:rsidRPr="00EF36FD">
        <w:rPr>
          <w:vertAlign w:val="subscript"/>
          <w:lang w:eastAsia="ko-KR"/>
        </w:rPr>
        <w:t>h2</w:t>
      </w:r>
      <w:r w:rsidRPr="009C5551">
        <w:rPr>
          <w:lang w:eastAsia="ko-KR"/>
        </w:rPr>
        <w:t xml:space="preserve">); otherwise minus sign is applied.  </w:t>
      </w:r>
    </w:p>
    <w:p w14:paraId="109227BF" w14:textId="77777777" w:rsidR="00795F62" w:rsidRPr="00946159" w:rsidRDefault="00795F62" w:rsidP="00795F62">
      <w:pPr>
        <w:pStyle w:val="B1"/>
        <w:rPr>
          <w:lang w:eastAsia="ko-KR"/>
        </w:rPr>
      </w:pPr>
      <w:r>
        <w:rPr>
          <w:lang w:eastAsia="ko-KR"/>
        </w:rPr>
        <w:t>-</w:t>
      </w:r>
      <w:r>
        <w:rPr>
          <w:lang w:eastAsia="ko-KR"/>
        </w:rPr>
        <w:tab/>
      </w:r>
      <w:r w:rsidRPr="00D81745">
        <w:rPr>
          <w:lang w:eastAsia="ko-KR"/>
        </w:rPr>
        <w:t>if the inner angle between D1</w:t>
      </w:r>
      <w:r w:rsidRPr="00D81745">
        <w:rPr>
          <w:vertAlign w:val="subscript"/>
          <w:lang w:eastAsia="ko-KR"/>
        </w:rPr>
        <w:t>w1</w:t>
      </w:r>
      <w:r w:rsidRPr="00D81745">
        <w:rPr>
          <w:lang w:eastAsia="ko-KR"/>
        </w:rPr>
        <w:t xml:space="preserve"> (or D1</w:t>
      </w:r>
      <w:r w:rsidRPr="00225532">
        <w:rPr>
          <w:vertAlign w:val="subscript"/>
          <w:lang w:eastAsia="ko-KR"/>
        </w:rPr>
        <w:t>w2</w:t>
      </w:r>
      <w:r w:rsidRPr="00146717">
        <w:rPr>
          <w:lang w:eastAsia="ko-KR"/>
        </w:rPr>
        <w:t>) and w (i.e., w</w:t>
      </w:r>
      <w:r w:rsidRPr="00075243">
        <w:rPr>
          <w:vertAlign w:val="subscript"/>
          <w:lang w:eastAsia="ko-KR"/>
        </w:rPr>
        <w:t>k</w:t>
      </w:r>
      <w:r w:rsidRPr="00075243">
        <w:rPr>
          <w:lang w:eastAsia="ko-KR"/>
        </w:rPr>
        <w:t xml:space="preserve"> for k-th blocker) is acute, plus sign is applied to F</w:t>
      </w:r>
      <w:r w:rsidRPr="00075243">
        <w:rPr>
          <w:vertAlign w:val="subscript"/>
          <w:lang w:eastAsia="ko-KR"/>
        </w:rPr>
        <w:t>w1</w:t>
      </w:r>
      <w:r w:rsidRPr="008C31F1">
        <w:rPr>
          <w:lang w:eastAsia="ko-KR"/>
        </w:rPr>
        <w:t xml:space="preserve"> (or F</w:t>
      </w:r>
      <w:r w:rsidRPr="000839D7">
        <w:rPr>
          <w:vertAlign w:val="subscript"/>
          <w:lang w:eastAsia="ko-KR"/>
        </w:rPr>
        <w:t>w2</w:t>
      </w:r>
      <w:r w:rsidRPr="00946159">
        <w:rPr>
          <w:lang w:eastAsia="ko-KR"/>
        </w:rPr>
        <w:t xml:space="preserve">); otherwise minus sign is applied.  </w:t>
      </w:r>
    </w:p>
    <w:p w14:paraId="520B84AE" w14:textId="77777777" w:rsidR="00795F62" w:rsidRPr="00492682" w:rsidRDefault="00795F62" w:rsidP="00795F62">
      <w:pPr>
        <w:spacing w:after="120"/>
        <w:jc w:val="both"/>
        <w:rPr>
          <w:rFonts w:eastAsia="Times New Roman"/>
          <w:lang w:eastAsia="zh-CN"/>
        </w:rPr>
      </w:pPr>
      <w:r w:rsidRPr="00603600">
        <w:rPr>
          <w:szCs w:val="22"/>
        </w:rPr>
        <w:t>For the case of multiple screens the total loss is given by summing the losses of each contributing screen in dB units.</w:t>
      </w:r>
    </w:p>
    <w:p w14:paraId="1EEDED31" w14:textId="77777777" w:rsidR="00795F62" w:rsidRPr="00744611" w:rsidRDefault="00795F62" w:rsidP="00795F62">
      <w:pPr>
        <w:spacing w:before="120" w:after="120"/>
        <w:jc w:val="both"/>
        <w:rPr>
          <w:lang w:eastAsia="ko-KR"/>
        </w:rPr>
      </w:pPr>
      <w:r w:rsidRPr="00744611">
        <w:rPr>
          <w:lang w:eastAsia="ko-KR"/>
        </w:rPr>
        <w:t xml:space="preserve">The model according to </w:t>
      </w:r>
      <w:r w:rsidRPr="00744611">
        <w:rPr>
          <w:rFonts w:eastAsia="Times New Roman" w:hint="eastAsia"/>
          <w:lang w:eastAsia="zh-CN"/>
        </w:rPr>
        <w:t>option B</w:t>
      </w:r>
      <w:r w:rsidRPr="00744611">
        <w:rPr>
          <w:lang w:eastAsia="ko-KR"/>
        </w:rPr>
        <w:t xml:space="preserve"> is consistent in time, frequency and space, and is more appropriate to be used for simulations with arbitrarily designated blocker density. </w:t>
      </w:r>
    </w:p>
    <w:p w14:paraId="28B12C72" w14:textId="77777777" w:rsidR="00795F62" w:rsidRPr="00744611" w:rsidRDefault="00795F62" w:rsidP="00795F62">
      <w:pPr>
        <w:pStyle w:val="TH"/>
        <w:rPr>
          <w:lang w:eastAsia="ko-KR"/>
        </w:rPr>
      </w:pPr>
    </w:p>
    <w:p w14:paraId="3002DB5F" w14:textId="77777777" w:rsidR="00795F62" w:rsidRPr="00744611" w:rsidRDefault="00795F62" w:rsidP="00795F62">
      <w:pPr>
        <w:pStyle w:val="TH"/>
        <w:rPr>
          <w:lang w:eastAsia="ko-KR"/>
        </w:rPr>
      </w:pPr>
      <w:r w:rsidRPr="00744611">
        <w:t xml:space="preserve"> </w:t>
      </w:r>
      <w:r w:rsidRPr="00744611">
        <w:object w:dxaOrig="10222" w:dyaOrig="6052" w14:anchorId="68FC3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83pt" o:ole="">
            <v:imagedata r:id="rId8" o:title=""/>
          </v:shape>
          <o:OLEObject Type="Embed" ProgID="Visio.Drawing.11" ShapeID="_x0000_i1025" DrawAspect="Content" ObjectID="_1536749938" r:id="rId9"/>
        </w:object>
      </w:r>
    </w:p>
    <w:p w14:paraId="78A689B3" w14:textId="77777777" w:rsidR="00795F62" w:rsidRPr="00744611" w:rsidRDefault="00795F62" w:rsidP="00795F62">
      <w:pPr>
        <w:pStyle w:val="TF"/>
        <w:rPr>
          <w:lang w:eastAsia="zh-CN"/>
        </w:rPr>
      </w:pPr>
      <w:bookmarkStart w:id="15" w:name="_Ref452032253"/>
      <w:r w:rsidRPr="00744611">
        <w:t xml:space="preserve">Figure </w:t>
      </w:r>
      <w:bookmarkEnd w:id="15"/>
      <w:r w:rsidRPr="00744611">
        <w:t>7.6.4</w:t>
      </w:r>
      <w:r w:rsidRPr="00744611">
        <w:rPr>
          <w:rFonts w:hint="eastAsia"/>
          <w:lang w:eastAsia="ko-KR"/>
        </w:rPr>
        <w:t>.2</w:t>
      </w:r>
      <w:r w:rsidRPr="00744611">
        <w:t>-2</w:t>
      </w:r>
      <w:r w:rsidRPr="00744611">
        <w:rPr>
          <w:rFonts w:hint="eastAsia"/>
          <w:lang w:eastAsia="zh-CN"/>
        </w:rPr>
        <w:t>(a)</w:t>
      </w:r>
      <w:r w:rsidRPr="00744611">
        <w:t>:</w:t>
      </w:r>
      <w:r w:rsidRPr="00744611">
        <w:rPr>
          <w:rFonts w:hint="eastAsia"/>
          <w:lang w:eastAsia="zh-CN"/>
        </w:rPr>
        <w:t xml:space="preserve"> Illustration of the geometric relation among blocker, receiver and transmitter for LOS path</w:t>
      </w:r>
    </w:p>
    <w:p w14:paraId="27FD8F17" w14:textId="77777777" w:rsidR="00795F62" w:rsidRPr="00744611" w:rsidRDefault="00795F62" w:rsidP="00795F62">
      <w:pPr>
        <w:pStyle w:val="TH"/>
        <w:rPr>
          <w:lang w:eastAsia="zh-CN"/>
        </w:rPr>
      </w:pPr>
    </w:p>
    <w:p w14:paraId="456730F5" w14:textId="77777777" w:rsidR="00795F62" w:rsidRPr="00744611" w:rsidRDefault="00795F62" w:rsidP="00795F62">
      <w:pPr>
        <w:pStyle w:val="TH"/>
        <w:rPr>
          <w:lang w:eastAsia="zh-CN"/>
        </w:rPr>
      </w:pPr>
      <w:r w:rsidRPr="00744611">
        <w:object w:dxaOrig="8425" w:dyaOrig="5833" w14:anchorId="2F035550">
          <v:shape id="_x0000_i1026" type="#_x0000_t75" style="width:306pt;height:211.5pt" o:ole="">
            <v:imagedata r:id="rId10" o:title=""/>
          </v:shape>
          <o:OLEObject Type="Embed" ProgID="Visio.Drawing.11" ShapeID="_x0000_i1026" DrawAspect="Content" ObjectID="_1536749939" r:id="rId11"/>
        </w:object>
      </w:r>
    </w:p>
    <w:p w14:paraId="22CE0B69" w14:textId="77777777" w:rsidR="00795F62" w:rsidRPr="00744611" w:rsidRDefault="00795F62" w:rsidP="00795F62">
      <w:pPr>
        <w:pStyle w:val="TF"/>
        <w:rPr>
          <w:lang w:eastAsia="ko-KR"/>
        </w:rPr>
      </w:pPr>
      <w:r w:rsidRPr="00744611">
        <w:t>Figure 7.6.4</w:t>
      </w:r>
      <w:r w:rsidRPr="00744611">
        <w:rPr>
          <w:rFonts w:hint="eastAsia"/>
          <w:lang w:eastAsia="ko-KR"/>
        </w:rPr>
        <w:t>.2</w:t>
      </w:r>
      <w:r w:rsidRPr="00744611">
        <w:t>-2</w:t>
      </w:r>
      <w:r w:rsidRPr="00744611">
        <w:rPr>
          <w:rFonts w:hint="eastAsia"/>
          <w:lang w:eastAsia="zh-CN"/>
        </w:rPr>
        <w:t>(b)</w:t>
      </w:r>
      <w:r w:rsidRPr="00744611">
        <w:t>:</w:t>
      </w:r>
      <w:r w:rsidRPr="00744611">
        <w:rPr>
          <w:rFonts w:hint="eastAsia"/>
          <w:lang w:eastAsia="zh-CN"/>
        </w:rPr>
        <w:t xml:space="preserve"> Illustration of the geometric relation between blocker and receiver for non-LOS path</w:t>
      </w:r>
    </w:p>
    <w:p w14:paraId="78856358" w14:textId="40E05D8A" w:rsidR="00795F62" w:rsidRPr="00795F62" w:rsidRDefault="00795F62" w:rsidP="00707846">
      <w:pPr>
        <w:rPr>
          <w:lang w:eastAsia="sv-SE"/>
        </w:rPr>
      </w:pPr>
    </w:p>
    <w:sectPr w:rsidR="00795F62" w:rsidRPr="00795F62" w:rsidSect="004B31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48E94" w14:textId="77777777" w:rsidR="009E2E15" w:rsidRDefault="009E2E15">
      <w:r>
        <w:separator/>
      </w:r>
    </w:p>
  </w:endnote>
  <w:endnote w:type="continuationSeparator" w:id="0">
    <w:p w14:paraId="4B622ED8" w14:textId="77777777" w:rsidR="009E2E15" w:rsidRDefault="009E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23B79" w14:textId="77777777" w:rsidR="00855E0E" w:rsidRDefault="00855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200A1" w14:textId="77777777" w:rsidR="00855E0E" w:rsidRDefault="00855E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631BB" w14:textId="77777777" w:rsidR="00855E0E" w:rsidRDefault="00855E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A44BB" w14:textId="77777777" w:rsidR="009E2E15" w:rsidRDefault="009E2E15">
      <w:r>
        <w:separator/>
      </w:r>
    </w:p>
  </w:footnote>
  <w:footnote w:type="continuationSeparator" w:id="0">
    <w:p w14:paraId="615AE04B" w14:textId="77777777" w:rsidR="009E2E15" w:rsidRDefault="009E2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E3815" w14:textId="77777777" w:rsidR="00855E0E" w:rsidRDefault="00855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CCBC2" w14:textId="77777777" w:rsidR="00855E0E" w:rsidRDefault="00855E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554" w14:textId="77777777" w:rsidR="00855E0E" w:rsidRDefault="00855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3089A"/>
    <w:multiLevelType w:val="hybridMultilevel"/>
    <w:tmpl w:val="BB8C7998"/>
    <w:lvl w:ilvl="0" w:tplc="1C8A38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1442"/>
    <w:multiLevelType w:val="hybridMultilevel"/>
    <w:tmpl w:val="AFE6B4B6"/>
    <w:lvl w:ilvl="0" w:tplc="7AE4ED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97035C"/>
    <w:multiLevelType w:val="hybridMultilevel"/>
    <w:tmpl w:val="3B300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2D508D"/>
    <w:multiLevelType w:val="hybridMultilevel"/>
    <w:tmpl w:val="0B9EE6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09A05EE"/>
    <w:multiLevelType w:val="hybridMultilevel"/>
    <w:tmpl w:val="17349F9C"/>
    <w:lvl w:ilvl="0" w:tplc="99E8C64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452B0"/>
    <w:multiLevelType w:val="hybridMultilevel"/>
    <w:tmpl w:val="CA3CE2AA"/>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440B1784"/>
    <w:multiLevelType w:val="hybridMultilevel"/>
    <w:tmpl w:val="AFE6B4B6"/>
    <w:lvl w:ilvl="0" w:tplc="7AE4ED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51143B"/>
    <w:multiLevelType w:val="hybridMultilevel"/>
    <w:tmpl w:val="A06A8862"/>
    <w:lvl w:ilvl="0" w:tplc="24624D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547CC0"/>
    <w:multiLevelType w:val="hybridMultilevel"/>
    <w:tmpl w:val="FE12AFEA"/>
    <w:lvl w:ilvl="0" w:tplc="5C7EC5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4875908"/>
    <w:multiLevelType w:val="hybridMultilevel"/>
    <w:tmpl w:val="9DC2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C20D17"/>
    <w:multiLevelType w:val="hybridMultilevel"/>
    <w:tmpl w:val="C88E9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3B1A9B"/>
    <w:multiLevelType w:val="hybridMultilevel"/>
    <w:tmpl w:val="1DACAD42"/>
    <w:lvl w:ilvl="0" w:tplc="68E8F3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9"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D307831"/>
    <w:multiLevelType w:val="hybridMultilevel"/>
    <w:tmpl w:val="564CFFA0"/>
    <w:lvl w:ilvl="0" w:tplc="0F5ED1A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24"/>
  </w:num>
  <w:num w:numId="4">
    <w:abstractNumId w:val="12"/>
  </w:num>
  <w:num w:numId="5">
    <w:abstractNumId w:val="16"/>
  </w:num>
  <w:num w:numId="6">
    <w:abstractNumId w:val="28"/>
  </w:num>
  <w:num w:numId="7">
    <w:abstractNumId w:val="1"/>
  </w:num>
  <w:num w:numId="8">
    <w:abstractNumId w:val="20"/>
  </w:num>
  <w:num w:numId="9">
    <w:abstractNumId w:val="11"/>
  </w:num>
  <w:num w:numId="10">
    <w:abstractNumId w:val="17"/>
  </w:num>
  <w:num w:numId="11">
    <w:abstractNumId w:val="29"/>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3"/>
  </w:num>
  <w:num w:numId="17">
    <w:abstractNumId w:val="21"/>
  </w:num>
  <w:num w:numId="18">
    <w:abstractNumId w:val="4"/>
  </w:num>
  <w:num w:numId="19">
    <w:abstractNumId w:val="6"/>
  </w:num>
  <w:num w:numId="20">
    <w:abstractNumId w:val="25"/>
  </w:num>
  <w:num w:numId="21">
    <w:abstractNumId w:val="5"/>
  </w:num>
  <w:num w:numId="22">
    <w:abstractNumId w:val="10"/>
  </w:num>
  <w:num w:numId="23">
    <w:abstractNumId w:val="15"/>
  </w:num>
  <w:num w:numId="24">
    <w:abstractNumId w:val="9"/>
  </w:num>
  <w:num w:numId="25">
    <w:abstractNumId w:val="19"/>
  </w:num>
  <w:num w:numId="26">
    <w:abstractNumId w:val="8"/>
  </w:num>
  <w:num w:numId="27">
    <w:abstractNumId w:val="30"/>
  </w:num>
  <w:num w:numId="28">
    <w:abstractNumId w:val="2"/>
  </w:num>
  <w:num w:numId="29">
    <w:abstractNumId w:val="7"/>
  </w:num>
  <w:num w:numId="30">
    <w:abstractNumId w:val="14"/>
  </w:num>
  <w:num w:numId="31">
    <w:abstractNumId w:val="22"/>
  </w:num>
  <w:num w:numId="32">
    <w:abstractNumId w:val="24"/>
  </w:num>
  <w:num w:numId="33">
    <w:abstractNumId w:val="13"/>
  </w:num>
  <w:num w:numId="3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48"/>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2F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630"/>
    <w:rsid w:val="00030779"/>
    <w:rsid w:val="000309F5"/>
    <w:rsid w:val="00030B04"/>
    <w:rsid w:val="00030F8E"/>
    <w:rsid w:val="0003189D"/>
    <w:rsid w:val="00031B04"/>
    <w:rsid w:val="00031F06"/>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42C"/>
    <w:rsid w:val="000447AE"/>
    <w:rsid w:val="00044839"/>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72A"/>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3E3E"/>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C7F82"/>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5ED4"/>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3A80"/>
    <w:rsid w:val="000E4235"/>
    <w:rsid w:val="000E446E"/>
    <w:rsid w:val="000E45DC"/>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1D3D"/>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203"/>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9AC"/>
    <w:rsid w:val="00160B11"/>
    <w:rsid w:val="00160D12"/>
    <w:rsid w:val="00161D9B"/>
    <w:rsid w:val="00161E99"/>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1D9"/>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0CD6"/>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7DB"/>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750"/>
    <w:rsid w:val="00196A1E"/>
    <w:rsid w:val="00196BD4"/>
    <w:rsid w:val="00197438"/>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D52"/>
    <w:rsid w:val="001A1E52"/>
    <w:rsid w:val="001A2090"/>
    <w:rsid w:val="001A20AE"/>
    <w:rsid w:val="001A270D"/>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E1A"/>
    <w:rsid w:val="001E2151"/>
    <w:rsid w:val="001E25A7"/>
    <w:rsid w:val="001E2D3A"/>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42C"/>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6FFB"/>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1A2"/>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1EB3"/>
    <w:rsid w:val="00242057"/>
    <w:rsid w:val="0024250B"/>
    <w:rsid w:val="002432E0"/>
    <w:rsid w:val="002437A0"/>
    <w:rsid w:val="002438FF"/>
    <w:rsid w:val="00243F53"/>
    <w:rsid w:val="00244414"/>
    <w:rsid w:val="00244A05"/>
    <w:rsid w:val="00244C23"/>
    <w:rsid w:val="00244F34"/>
    <w:rsid w:val="00245391"/>
    <w:rsid w:val="002454E1"/>
    <w:rsid w:val="00245567"/>
    <w:rsid w:val="002458FB"/>
    <w:rsid w:val="00245FF6"/>
    <w:rsid w:val="00246597"/>
    <w:rsid w:val="00246C16"/>
    <w:rsid w:val="0024784E"/>
    <w:rsid w:val="00250580"/>
    <w:rsid w:val="002505A7"/>
    <w:rsid w:val="002509C7"/>
    <w:rsid w:val="002512C1"/>
    <w:rsid w:val="002514E7"/>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591"/>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16B"/>
    <w:rsid w:val="00283507"/>
    <w:rsid w:val="00283BAD"/>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EC7"/>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26"/>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91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C7C67"/>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A2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D3F"/>
    <w:rsid w:val="002F4E2D"/>
    <w:rsid w:val="002F4F75"/>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4E"/>
    <w:rsid w:val="00322F7F"/>
    <w:rsid w:val="0032394D"/>
    <w:rsid w:val="00323B97"/>
    <w:rsid w:val="003247A8"/>
    <w:rsid w:val="00324C83"/>
    <w:rsid w:val="00324C86"/>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193"/>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6BF"/>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60B9"/>
    <w:rsid w:val="003862BE"/>
    <w:rsid w:val="0038647B"/>
    <w:rsid w:val="00386561"/>
    <w:rsid w:val="00386ACA"/>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00"/>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304"/>
    <w:rsid w:val="003E340E"/>
    <w:rsid w:val="003E3705"/>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64E"/>
    <w:rsid w:val="003F3986"/>
    <w:rsid w:val="003F3AB5"/>
    <w:rsid w:val="003F3C8D"/>
    <w:rsid w:val="003F413C"/>
    <w:rsid w:val="003F4379"/>
    <w:rsid w:val="003F47CC"/>
    <w:rsid w:val="003F4901"/>
    <w:rsid w:val="003F4925"/>
    <w:rsid w:val="003F4930"/>
    <w:rsid w:val="003F4EBF"/>
    <w:rsid w:val="003F555B"/>
    <w:rsid w:val="003F5C5B"/>
    <w:rsid w:val="003F600C"/>
    <w:rsid w:val="003F6506"/>
    <w:rsid w:val="003F6876"/>
    <w:rsid w:val="003F68DD"/>
    <w:rsid w:val="003F6983"/>
    <w:rsid w:val="003F6999"/>
    <w:rsid w:val="003F6B1A"/>
    <w:rsid w:val="003F6EAC"/>
    <w:rsid w:val="003F6F95"/>
    <w:rsid w:val="003F75CC"/>
    <w:rsid w:val="003F77DF"/>
    <w:rsid w:val="00400381"/>
    <w:rsid w:val="00400628"/>
    <w:rsid w:val="00400901"/>
    <w:rsid w:val="004012EA"/>
    <w:rsid w:val="00401503"/>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07F2A"/>
    <w:rsid w:val="00410087"/>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5"/>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DDE"/>
    <w:rsid w:val="00463EAA"/>
    <w:rsid w:val="004646AB"/>
    <w:rsid w:val="00464FCE"/>
    <w:rsid w:val="004651A4"/>
    <w:rsid w:val="00465422"/>
    <w:rsid w:val="00465996"/>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22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7E2"/>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54"/>
    <w:rsid w:val="004A079C"/>
    <w:rsid w:val="004A0A28"/>
    <w:rsid w:val="004A1498"/>
    <w:rsid w:val="004A1BC4"/>
    <w:rsid w:val="004A2177"/>
    <w:rsid w:val="004A250E"/>
    <w:rsid w:val="004A2DAC"/>
    <w:rsid w:val="004A3317"/>
    <w:rsid w:val="004A3464"/>
    <w:rsid w:val="004A35F3"/>
    <w:rsid w:val="004A3BAD"/>
    <w:rsid w:val="004A3FD1"/>
    <w:rsid w:val="004A4221"/>
    <w:rsid w:val="004A4A5E"/>
    <w:rsid w:val="004A4A6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C798E"/>
    <w:rsid w:val="004D0005"/>
    <w:rsid w:val="004D0292"/>
    <w:rsid w:val="004D0837"/>
    <w:rsid w:val="004D08FA"/>
    <w:rsid w:val="004D092A"/>
    <w:rsid w:val="004D0DC4"/>
    <w:rsid w:val="004D1590"/>
    <w:rsid w:val="004D1858"/>
    <w:rsid w:val="004D1A44"/>
    <w:rsid w:val="004D1C03"/>
    <w:rsid w:val="004D1D71"/>
    <w:rsid w:val="004D28A4"/>
    <w:rsid w:val="004D2DBA"/>
    <w:rsid w:val="004D3639"/>
    <w:rsid w:val="004D3AD7"/>
    <w:rsid w:val="004D3E99"/>
    <w:rsid w:val="004D3FC6"/>
    <w:rsid w:val="004D4354"/>
    <w:rsid w:val="004D4A67"/>
    <w:rsid w:val="004D4D93"/>
    <w:rsid w:val="004D4E62"/>
    <w:rsid w:val="004D5267"/>
    <w:rsid w:val="004D5298"/>
    <w:rsid w:val="004D53BF"/>
    <w:rsid w:val="004D5699"/>
    <w:rsid w:val="004D58BF"/>
    <w:rsid w:val="004D5A35"/>
    <w:rsid w:val="004D5B08"/>
    <w:rsid w:val="004D5DFA"/>
    <w:rsid w:val="004D5F1B"/>
    <w:rsid w:val="004D6065"/>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65A"/>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3FD"/>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574F"/>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8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D84"/>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0F65"/>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53B"/>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77D82"/>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09C"/>
    <w:rsid w:val="00592850"/>
    <w:rsid w:val="00592B95"/>
    <w:rsid w:val="00592D89"/>
    <w:rsid w:val="00593101"/>
    <w:rsid w:val="005939B1"/>
    <w:rsid w:val="00593B6E"/>
    <w:rsid w:val="00593DDA"/>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C7EF8"/>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5CF3"/>
    <w:rsid w:val="005D6345"/>
    <w:rsid w:val="005D6390"/>
    <w:rsid w:val="005D6518"/>
    <w:rsid w:val="005D6B58"/>
    <w:rsid w:val="005D700F"/>
    <w:rsid w:val="005D738D"/>
    <w:rsid w:val="005D7725"/>
    <w:rsid w:val="005D7923"/>
    <w:rsid w:val="005E01CB"/>
    <w:rsid w:val="005E0497"/>
    <w:rsid w:val="005E0532"/>
    <w:rsid w:val="005E082A"/>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537"/>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52E"/>
    <w:rsid w:val="00610807"/>
    <w:rsid w:val="00610B5C"/>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0E16"/>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474"/>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454"/>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813"/>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4EF8"/>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E74E2"/>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846"/>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4B3"/>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0F46"/>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522"/>
    <w:rsid w:val="00754667"/>
    <w:rsid w:val="00754A13"/>
    <w:rsid w:val="00754C10"/>
    <w:rsid w:val="00755760"/>
    <w:rsid w:val="00755879"/>
    <w:rsid w:val="007558EB"/>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255"/>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5F62"/>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CB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49AE"/>
    <w:rsid w:val="00805018"/>
    <w:rsid w:val="008056C2"/>
    <w:rsid w:val="0080575D"/>
    <w:rsid w:val="008057CA"/>
    <w:rsid w:val="0080630E"/>
    <w:rsid w:val="00806A16"/>
    <w:rsid w:val="00806A54"/>
    <w:rsid w:val="00806C9F"/>
    <w:rsid w:val="008072B5"/>
    <w:rsid w:val="00807654"/>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17D"/>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0E"/>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1FF6"/>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5FE9"/>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1B5"/>
    <w:rsid w:val="0088434F"/>
    <w:rsid w:val="00884669"/>
    <w:rsid w:val="00884B21"/>
    <w:rsid w:val="00884EBC"/>
    <w:rsid w:val="00884FF2"/>
    <w:rsid w:val="00885457"/>
    <w:rsid w:val="008855A0"/>
    <w:rsid w:val="00885672"/>
    <w:rsid w:val="008857A2"/>
    <w:rsid w:val="00885978"/>
    <w:rsid w:val="00886396"/>
    <w:rsid w:val="00886F41"/>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9CE"/>
    <w:rsid w:val="00897F87"/>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1BD"/>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7"/>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4065"/>
    <w:rsid w:val="008F4866"/>
    <w:rsid w:val="008F486C"/>
    <w:rsid w:val="008F4AD4"/>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0C6"/>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45"/>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31F"/>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859"/>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917"/>
    <w:rsid w:val="00992F04"/>
    <w:rsid w:val="00993521"/>
    <w:rsid w:val="009939C7"/>
    <w:rsid w:val="00993AD0"/>
    <w:rsid w:val="00993CBC"/>
    <w:rsid w:val="00993E49"/>
    <w:rsid w:val="00994A2F"/>
    <w:rsid w:val="00994A5A"/>
    <w:rsid w:val="0099519D"/>
    <w:rsid w:val="00995443"/>
    <w:rsid w:val="0099588B"/>
    <w:rsid w:val="009958DA"/>
    <w:rsid w:val="00995A7B"/>
    <w:rsid w:val="00995B3E"/>
    <w:rsid w:val="00995EBF"/>
    <w:rsid w:val="00995F6E"/>
    <w:rsid w:val="00995FBA"/>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2"/>
    <w:rsid w:val="009C3275"/>
    <w:rsid w:val="009C347A"/>
    <w:rsid w:val="009C35DB"/>
    <w:rsid w:val="009C3DF3"/>
    <w:rsid w:val="009C40E5"/>
    <w:rsid w:val="009C4368"/>
    <w:rsid w:val="009C4732"/>
    <w:rsid w:val="009C4A98"/>
    <w:rsid w:val="009C529B"/>
    <w:rsid w:val="009C5554"/>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6DB"/>
    <w:rsid w:val="009D1B35"/>
    <w:rsid w:val="009D1C31"/>
    <w:rsid w:val="009D1EAC"/>
    <w:rsid w:val="009D2006"/>
    <w:rsid w:val="009D20FE"/>
    <w:rsid w:val="009D21F3"/>
    <w:rsid w:val="009D22FA"/>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1D"/>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2E15"/>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1A6"/>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663"/>
    <w:rsid w:val="00A07BE2"/>
    <w:rsid w:val="00A07BF8"/>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1F33"/>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1B3"/>
    <w:rsid w:val="00AA446F"/>
    <w:rsid w:val="00AA45BA"/>
    <w:rsid w:val="00AA4F89"/>
    <w:rsid w:val="00AA506F"/>
    <w:rsid w:val="00AA522F"/>
    <w:rsid w:val="00AA53AD"/>
    <w:rsid w:val="00AA55A9"/>
    <w:rsid w:val="00AA55CE"/>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75F"/>
    <w:rsid w:val="00AB6B75"/>
    <w:rsid w:val="00AB6EC1"/>
    <w:rsid w:val="00AB7147"/>
    <w:rsid w:val="00AB7426"/>
    <w:rsid w:val="00AB777B"/>
    <w:rsid w:val="00AB79E0"/>
    <w:rsid w:val="00AB7CC2"/>
    <w:rsid w:val="00AC103E"/>
    <w:rsid w:val="00AC12F1"/>
    <w:rsid w:val="00AC17AB"/>
    <w:rsid w:val="00AC1A7F"/>
    <w:rsid w:val="00AC1D2C"/>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5E7"/>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4B6"/>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039"/>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6FEF"/>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2D79"/>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237"/>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9E"/>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2BC"/>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D7D3B"/>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39FE"/>
    <w:rsid w:val="00BE4135"/>
    <w:rsid w:val="00BE42E9"/>
    <w:rsid w:val="00BE51A8"/>
    <w:rsid w:val="00BE5291"/>
    <w:rsid w:val="00BE543A"/>
    <w:rsid w:val="00BE55C7"/>
    <w:rsid w:val="00BE5A23"/>
    <w:rsid w:val="00BE6069"/>
    <w:rsid w:val="00BE661F"/>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3D44"/>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6E5"/>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4DE9"/>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031E"/>
    <w:rsid w:val="00C41099"/>
    <w:rsid w:val="00C41694"/>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161"/>
    <w:rsid w:val="00CB0233"/>
    <w:rsid w:val="00CB0F3C"/>
    <w:rsid w:val="00CB10FA"/>
    <w:rsid w:val="00CB1A02"/>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4777"/>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784"/>
    <w:rsid w:val="00D05C88"/>
    <w:rsid w:val="00D05FDB"/>
    <w:rsid w:val="00D0678B"/>
    <w:rsid w:val="00D06862"/>
    <w:rsid w:val="00D06C0F"/>
    <w:rsid w:val="00D06F9A"/>
    <w:rsid w:val="00D07619"/>
    <w:rsid w:val="00D1023E"/>
    <w:rsid w:val="00D1031D"/>
    <w:rsid w:val="00D104CE"/>
    <w:rsid w:val="00D1080E"/>
    <w:rsid w:val="00D10942"/>
    <w:rsid w:val="00D10A11"/>
    <w:rsid w:val="00D10AA9"/>
    <w:rsid w:val="00D10DE9"/>
    <w:rsid w:val="00D10EEA"/>
    <w:rsid w:val="00D113C5"/>
    <w:rsid w:val="00D11498"/>
    <w:rsid w:val="00D12AC6"/>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2F6"/>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5A38"/>
    <w:rsid w:val="00D96B79"/>
    <w:rsid w:val="00D96F29"/>
    <w:rsid w:val="00D9742F"/>
    <w:rsid w:val="00DA000A"/>
    <w:rsid w:val="00DA004A"/>
    <w:rsid w:val="00DA06B0"/>
    <w:rsid w:val="00DA0EBA"/>
    <w:rsid w:val="00DA12DB"/>
    <w:rsid w:val="00DA13B5"/>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A7FFE"/>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4C83"/>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B69"/>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229"/>
    <w:rsid w:val="00E17539"/>
    <w:rsid w:val="00E1754E"/>
    <w:rsid w:val="00E17861"/>
    <w:rsid w:val="00E20153"/>
    <w:rsid w:val="00E202F2"/>
    <w:rsid w:val="00E20581"/>
    <w:rsid w:val="00E20BE5"/>
    <w:rsid w:val="00E20D8B"/>
    <w:rsid w:val="00E21272"/>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867"/>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77"/>
    <w:rsid w:val="00E44CC4"/>
    <w:rsid w:val="00E44DEC"/>
    <w:rsid w:val="00E451A6"/>
    <w:rsid w:val="00E451E5"/>
    <w:rsid w:val="00E45482"/>
    <w:rsid w:val="00E4550C"/>
    <w:rsid w:val="00E4568A"/>
    <w:rsid w:val="00E4578A"/>
    <w:rsid w:val="00E45AF5"/>
    <w:rsid w:val="00E464F6"/>
    <w:rsid w:val="00E466CF"/>
    <w:rsid w:val="00E469E9"/>
    <w:rsid w:val="00E479A9"/>
    <w:rsid w:val="00E47AD1"/>
    <w:rsid w:val="00E50BC8"/>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588"/>
    <w:rsid w:val="00E5663C"/>
    <w:rsid w:val="00E566F2"/>
    <w:rsid w:val="00E56783"/>
    <w:rsid w:val="00E56DB8"/>
    <w:rsid w:val="00E57705"/>
    <w:rsid w:val="00E57BB3"/>
    <w:rsid w:val="00E57EF0"/>
    <w:rsid w:val="00E60990"/>
    <w:rsid w:val="00E60A3C"/>
    <w:rsid w:val="00E60DEC"/>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CC3"/>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3E"/>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6FB0"/>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E0F"/>
    <w:rsid w:val="00EB2F6C"/>
    <w:rsid w:val="00EB32D5"/>
    <w:rsid w:val="00EB3BC7"/>
    <w:rsid w:val="00EB3DBC"/>
    <w:rsid w:val="00EB3E4D"/>
    <w:rsid w:val="00EB43A6"/>
    <w:rsid w:val="00EB44B5"/>
    <w:rsid w:val="00EB464F"/>
    <w:rsid w:val="00EB479D"/>
    <w:rsid w:val="00EB49BE"/>
    <w:rsid w:val="00EB49E2"/>
    <w:rsid w:val="00EB4B0F"/>
    <w:rsid w:val="00EB512A"/>
    <w:rsid w:val="00EB5BA4"/>
    <w:rsid w:val="00EB5CB9"/>
    <w:rsid w:val="00EB5FA7"/>
    <w:rsid w:val="00EB60CD"/>
    <w:rsid w:val="00EB672A"/>
    <w:rsid w:val="00EB67DC"/>
    <w:rsid w:val="00EB6F06"/>
    <w:rsid w:val="00EB7AC0"/>
    <w:rsid w:val="00EB7B83"/>
    <w:rsid w:val="00EB7CFD"/>
    <w:rsid w:val="00EB7EF8"/>
    <w:rsid w:val="00EC12BA"/>
    <w:rsid w:val="00EC1969"/>
    <w:rsid w:val="00EC1FB2"/>
    <w:rsid w:val="00EC20BC"/>
    <w:rsid w:val="00EC2546"/>
    <w:rsid w:val="00EC2664"/>
    <w:rsid w:val="00EC267E"/>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0C39"/>
    <w:rsid w:val="00ED16A1"/>
    <w:rsid w:val="00ED20E9"/>
    <w:rsid w:val="00ED24B8"/>
    <w:rsid w:val="00ED2A5C"/>
    <w:rsid w:val="00ED2CAA"/>
    <w:rsid w:val="00ED2DA2"/>
    <w:rsid w:val="00ED2E8C"/>
    <w:rsid w:val="00ED398A"/>
    <w:rsid w:val="00ED3EDA"/>
    <w:rsid w:val="00ED3EF4"/>
    <w:rsid w:val="00ED3EFD"/>
    <w:rsid w:val="00ED4474"/>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63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673"/>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0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BD5"/>
    <w:rsid w:val="00F57CC4"/>
    <w:rsid w:val="00F600F5"/>
    <w:rsid w:val="00F60366"/>
    <w:rsid w:val="00F604A4"/>
    <w:rsid w:val="00F61E81"/>
    <w:rsid w:val="00F61F7A"/>
    <w:rsid w:val="00F625BA"/>
    <w:rsid w:val="00F6291E"/>
    <w:rsid w:val="00F62A3B"/>
    <w:rsid w:val="00F62B7C"/>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3C0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2A94"/>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8AC"/>
    <w:rsid w:val="00FC5A97"/>
    <w:rsid w:val="00FC5F9E"/>
    <w:rsid w:val="00FC6878"/>
    <w:rsid w:val="00FC6CC1"/>
    <w:rsid w:val="00FC6D12"/>
    <w:rsid w:val="00FC700B"/>
    <w:rsid w:val="00FC77E9"/>
    <w:rsid w:val="00FC78BA"/>
    <w:rsid w:val="00FD0232"/>
    <w:rsid w:val="00FD072E"/>
    <w:rsid w:val="00FD0886"/>
    <w:rsid w:val="00FD08B3"/>
    <w:rsid w:val="00FD0BF6"/>
    <w:rsid w:val="00FD0D1D"/>
    <w:rsid w:val="00FD1136"/>
    <w:rsid w:val="00FD1561"/>
    <w:rsid w:val="00FD22CF"/>
    <w:rsid w:val="00FD2AFD"/>
    <w:rsid w:val="00FD2CE7"/>
    <w:rsid w:val="00FD32A7"/>
    <w:rsid w:val="00FD3463"/>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49D"/>
    <w:rsid w:val="00FE29BF"/>
    <w:rsid w:val="00FE38C9"/>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uiPriority w:val="99"/>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279335028">
      <w:bodyDiv w:val="1"/>
      <w:marLeft w:val="0"/>
      <w:marRight w:val="0"/>
      <w:marTop w:val="0"/>
      <w:marBottom w:val="0"/>
      <w:divBdr>
        <w:top w:val="none" w:sz="0" w:space="0" w:color="auto"/>
        <w:left w:val="none" w:sz="0" w:space="0" w:color="auto"/>
        <w:bottom w:val="none" w:sz="0" w:space="0" w:color="auto"/>
        <w:right w:val="none" w:sz="0" w:space="0" w:color="auto"/>
      </w:divBdr>
    </w:div>
    <w:div w:id="1302232558">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3871865">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2016-09-30T11:40:00Z</dcterms:created>
  <dcterms:modified xsi:type="dcterms:W3CDTF">2016-09-30T12:13:00Z</dcterms:modified>
</cp:coreProperties>
</file>